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0C" w:rsidRPr="00B65DFE" w:rsidRDefault="00B2070C" w:rsidP="00CA62C2">
      <w:pPr>
        <w:pStyle w:val="Title"/>
        <w:rPr>
          <w:sz w:val="28"/>
          <w:szCs w:val="28"/>
        </w:rPr>
      </w:pPr>
      <w:r w:rsidRPr="00894E75">
        <w:rPr>
          <w:sz w:val="28"/>
          <w:szCs w:val="28"/>
        </w:rPr>
        <w:t>Республика Бурятия</w:t>
      </w:r>
    </w:p>
    <w:p w:rsidR="00B2070C" w:rsidRPr="00B65DFE" w:rsidRDefault="00B2070C" w:rsidP="00CA62C2">
      <w:pPr>
        <w:pStyle w:val="Title"/>
      </w:pPr>
      <w:r w:rsidRPr="00F47F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" style="width:34.5pt;height:34.5pt;visibility:visible">
            <v:imagedata r:id="rId7" o:title=""/>
          </v:shape>
        </w:pict>
      </w:r>
    </w:p>
    <w:p w:rsidR="00B2070C" w:rsidRPr="00C06485" w:rsidRDefault="00B2070C" w:rsidP="00CA62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485">
        <w:rPr>
          <w:sz w:val="28"/>
          <w:szCs w:val="28"/>
        </w:rPr>
        <w:t xml:space="preserve"> </w:t>
      </w:r>
      <w:r w:rsidRPr="00C06485">
        <w:rPr>
          <w:rFonts w:ascii="Times New Roman" w:hAnsi="Times New Roman" w:cs="Times New Roman"/>
          <w:b/>
          <w:bCs/>
          <w:sz w:val="28"/>
          <w:szCs w:val="28"/>
        </w:rPr>
        <w:t>ООО “РОЛПА”, 2012</w:t>
      </w:r>
    </w:p>
    <w:p w:rsidR="00B2070C" w:rsidRPr="003B3BE0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B2070C" w:rsidRPr="00B9214E" w:rsidTr="00590E46">
        <w:tblPrEx>
          <w:tblCellMar>
            <w:top w:w="0" w:type="dxa"/>
            <w:bottom w:w="0" w:type="dxa"/>
          </w:tblCellMar>
        </w:tblPrEx>
        <w:trPr>
          <w:trHeight w:val="11240"/>
        </w:trPr>
        <w:tc>
          <w:tcPr>
            <w:tcW w:w="3369" w:type="dxa"/>
          </w:tcPr>
          <w:p w:rsidR="00B2070C" w:rsidRDefault="00B2070C" w:rsidP="00590E46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70C" w:rsidRPr="00B9214E" w:rsidRDefault="00B2070C" w:rsidP="00590E46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ТЕРРИТОРИАЛЬНОЕ ПЛАНИРОВАНИЕ</w:t>
            </w:r>
          </w:p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0C" w:rsidRDefault="00B2070C" w:rsidP="00590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</w:p>
          <w:p w:rsidR="00B2070C" w:rsidRDefault="00B2070C" w:rsidP="00590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«КОМСОМОЛЬСКОЕ»</w:t>
            </w:r>
          </w:p>
          <w:p w:rsidR="00B2070C" w:rsidRPr="00B9214E" w:rsidRDefault="00B2070C" w:rsidP="00590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ЕРАВНИНСКОГО РАЙОНА РЕСПУБЛИКИ БУРЯТИЯ</w:t>
            </w:r>
          </w:p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0C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0C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0C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.45pt;margin-top:3.85pt;width:119.3pt;height:0;z-index:251658240" o:connectortype="straight">
                  <v:stroke dashstyle="dashDot"/>
                </v:shape>
              </w:pict>
            </w:r>
          </w:p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32" style="position:absolute;margin-left:12.45pt;margin-top:1.8pt;width:119.3pt;height:0;z-index:251659264" o:connectortype="straight">
                  <v:stroke dashstyle="dashDot"/>
                </v:shape>
              </w:pict>
            </w:r>
          </w:p>
          <w:tbl>
            <w:tblPr>
              <w:tblpPr w:leftFromText="180" w:rightFromText="180" w:vertAnchor="text" w:horzAnchor="margin" w:tblpY="8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</w:tblGrid>
            <w:tr w:rsidR="00B2070C" w:rsidRPr="00B9214E" w:rsidTr="00590E46">
              <w:tblPrEx>
                <w:tblCellMar>
                  <w:top w:w="0" w:type="dxa"/>
                  <w:bottom w:w="0" w:type="dxa"/>
                </w:tblCellMar>
              </w:tblPrEx>
              <w:trPr>
                <w:trHeight w:val="41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70C" w:rsidRPr="00B9214E" w:rsidRDefault="00B2070C" w:rsidP="00590E46">
                  <w:pPr>
                    <w:spacing w:after="0" w:line="360" w:lineRule="auto"/>
                    <w:ind w:left="142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921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Шифр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18/12</w:t>
                  </w:r>
                </w:p>
              </w:tc>
            </w:tr>
          </w:tbl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</w:tblGrid>
            <w:tr w:rsidR="00B2070C" w:rsidRPr="00B9214E" w:rsidTr="00590E46">
              <w:tblPrEx>
                <w:tblCellMar>
                  <w:top w:w="0" w:type="dxa"/>
                  <w:bottom w:w="0" w:type="dxa"/>
                </w:tblCellMar>
              </w:tblPrEx>
              <w:trPr>
                <w:trHeight w:val="478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70C" w:rsidRPr="00B9214E" w:rsidRDefault="00B2070C" w:rsidP="00590E46">
                  <w:pPr>
                    <w:ind w:left="142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921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экземпляров</w:t>
                  </w:r>
                </w:p>
              </w:tc>
            </w:tr>
          </w:tbl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</w:tblGrid>
            <w:tr w:rsidR="00B2070C" w:rsidRPr="00B9214E" w:rsidTr="00590E46">
              <w:tblPrEx>
                <w:tblCellMar>
                  <w:top w:w="0" w:type="dxa"/>
                  <w:bottom w:w="0" w:type="dxa"/>
                </w:tblCellMar>
              </w:tblPrEx>
              <w:trPr>
                <w:trHeight w:val="478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70C" w:rsidRPr="00B9214E" w:rsidRDefault="00B2070C" w:rsidP="00590E46">
                  <w:pPr>
                    <w:framePr w:hSpace="180" w:wrap="around" w:vAnchor="text" w:hAnchor="margin" w:xAlign="right" w:y="269"/>
                    <w:ind w:left="142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9214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Экземпляр №</w:t>
                  </w:r>
                </w:p>
              </w:tc>
            </w:tr>
          </w:tbl>
          <w:p w:rsidR="00B2070C" w:rsidRPr="00B9214E" w:rsidRDefault="00B2070C" w:rsidP="0059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70C" w:rsidRPr="003B3BE0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Pr="003B3BE0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Default="00B2070C" w:rsidP="00CA62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3BE0">
        <w:rPr>
          <w:rFonts w:ascii="Times New Roman" w:hAnsi="Times New Roman" w:cs="Times New Roman"/>
          <w:b/>
          <w:bCs/>
          <w:sz w:val="28"/>
          <w:szCs w:val="28"/>
        </w:rPr>
        <w:t xml:space="preserve">ТОМ </w:t>
      </w:r>
      <w:r w:rsidRPr="003B3BE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B2070C" w:rsidRDefault="00B2070C" w:rsidP="00CA62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 id="_x0000_s1028" type="#_x0000_t32" style="position:absolute;margin-left:-.6pt;margin-top:15.1pt;width:508.1pt;height:0;z-index:251657216" o:connectortype="straight"/>
        </w:pict>
      </w:r>
    </w:p>
    <w:p w:rsidR="00B2070C" w:rsidRPr="003B3BE0" w:rsidRDefault="00B2070C" w:rsidP="00CA62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ГЕНЕРАЛЬНЫЙ ПЛАН МО СП</w:t>
      </w:r>
      <w:r w:rsidRPr="004C236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КОМСОМОЛЬСКОЕ</w:t>
      </w:r>
      <w:r w:rsidRPr="004C236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ЕРАВНИНСКОГО РАЙОНА. </w:t>
      </w:r>
      <w:r>
        <w:rPr>
          <w:rFonts w:ascii="Times New Roman" w:hAnsi="Times New Roman" w:cs="Times New Roman"/>
          <w:sz w:val="28"/>
          <w:szCs w:val="28"/>
        </w:rPr>
        <w:t>ПОЛОЖЕНИЯ О ТЕРРИТОРИАЛЬНОМ ПЛАНИРОВАНИИ</w:t>
      </w:r>
    </w:p>
    <w:p w:rsidR="00B2070C" w:rsidRPr="003B3BE0" w:rsidRDefault="00B2070C" w:rsidP="00CA62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Pr="00362B31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Pr="00434FB6" w:rsidRDefault="00B2070C" w:rsidP="00CA62C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34FB6">
        <w:rPr>
          <w:rFonts w:ascii="Times New Roman" w:hAnsi="Times New Roman" w:cs="Times New Roman"/>
          <w:sz w:val="28"/>
          <w:szCs w:val="28"/>
        </w:rPr>
        <w:t xml:space="preserve">Главный архитектор проекта      </w:t>
      </w:r>
      <w:r>
        <w:rPr>
          <w:rFonts w:ascii="Times New Roman" w:hAnsi="Times New Roman" w:cs="Times New Roman"/>
          <w:sz w:val="28"/>
          <w:szCs w:val="28"/>
        </w:rPr>
        <w:t xml:space="preserve">      Гармаева Е</w:t>
      </w:r>
      <w:r w:rsidRPr="00434FB6">
        <w:rPr>
          <w:rFonts w:ascii="Times New Roman" w:hAnsi="Times New Roman" w:cs="Times New Roman"/>
          <w:sz w:val="28"/>
          <w:szCs w:val="28"/>
        </w:rPr>
        <w:t>.П.</w:t>
      </w:r>
    </w:p>
    <w:p w:rsidR="00B2070C" w:rsidRPr="003B3BE0" w:rsidRDefault="00B2070C" w:rsidP="00CA62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 id="_x0000_s1029" type="#_x0000_t32" style="position:absolute;margin-left:5.65pt;margin-top:.9pt;width:310.55pt;height:0;z-index:251656192" o:connectortype="straight"/>
        </w:pict>
      </w:r>
    </w:p>
    <w:p w:rsidR="00B2070C" w:rsidRPr="003B3BE0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Pr="003B3BE0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Pr="003B3BE0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Pr="003B3BE0" w:rsidRDefault="00B2070C" w:rsidP="00CA62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70C" w:rsidRPr="003B3BE0" w:rsidRDefault="00B2070C" w:rsidP="00CA6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BE0">
        <w:rPr>
          <w:rFonts w:ascii="Times New Roman" w:hAnsi="Times New Roman" w:cs="Times New Roman"/>
          <w:b/>
          <w:bCs/>
          <w:sz w:val="28"/>
          <w:szCs w:val="28"/>
        </w:rPr>
        <w:t>Улан-Удэ, 201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2070C" w:rsidRPr="00334FA0" w:rsidRDefault="00B2070C" w:rsidP="00922A75">
      <w:pPr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СОСТАВ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997"/>
        <w:gridCol w:w="1056"/>
        <w:gridCol w:w="1053"/>
      </w:tblGrid>
      <w:tr w:rsidR="00B2070C" w:rsidRPr="00760BDE">
        <w:trPr>
          <w:jc w:val="center"/>
        </w:trPr>
        <w:tc>
          <w:tcPr>
            <w:tcW w:w="81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9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5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 листа</w:t>
            </w:r>
          </w:p>
        </w:tc>
        <w:tc>
          <w:tcPr>
            <w:tcW w:w="1053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Кол-во экз.</w:t>
            </w:r>
          </w:p>
        </w:tc>
      </w:tr>
      <w:tr w:rsidR="00B2070C" w:rsidRPr="00760BDE">
        <w:trPr>
          <w:jc w:val="center"/>
        </w:trPr>
        <w:tc>
          <w:tcPr>
            <w:tcW w:w="81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699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ТЕКСТОВЫЕ МАТЕРИАЛЫ</w:t>
            </w:r>
          </w:p>
        </w:tc>
        <w:tc>
          <w:tcPr>
            <w:tcW w:w="105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2070C" w:rsidRPr="00760BDE">
        <w:trPr>
          <w:jc w:val="center"/>
        </w:trPr>
        <w:tc>
          <w:tcPr>
            <w:tcW w:w="81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699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Том 1. Генеральный план МО СП 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Комсомольское</w:t>
            </w: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». Положения о территориальном планировании</w:t>
            </w:r>
          </w:p>
        </w:tc>
        <w:tc>
          <w:tcPr>
            <w:tcW w:w="105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</w:tr>
      <w:tr w:rsidR="00B2070C" w:rsidRPr="00760BDE">
        <w:trPr>
          <w:trHeight w:val="300"/>
          <w:jc w:val="center"/>
        </w:trPr>
        <w:tc>
          <w:tcPr>
            <w:tcW w:w="81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699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КАРТОГРАФИЧЕСКИЕ МАТЕРИАЛЫ</w:t>
            </w:r>
          </w:p>
        </w:tc>
        <w:tc>
          <w:tcPr>
            <w:tcW w:w="105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053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2070C" w:rsidRPr="00760BDE">
        <w:trPr>
          <w:trHeight w:val="416"/>
          <w:jc w:val="center"/>
        </w:trPr>
        <w:tc>
          <w:tcPr>
            <w:tcW w:w="81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Схема границ зон с особыми условиями использования</w:t>
            </w:r>
          </w:p>
        </w:tc>
        <w:tc>
          <w:tcPr>
            <w:tcW w:w="105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</w:tr>
      <w:tr w:rsidR="00B2070C" w:rsidRPr="00760BDE">
        <w:trPr>
          <w:trHeight w:val="416"/>
          <w:jc w:val="center"/>
        </w:trPr>
        <w:tc>
          <w:tcPr>
            <w:tcW w:w="81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9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Проектный план</w:t>
            </w:r>
          </w:p>
        </w:tc>
        <w:tc>
          <w:tcPr>
            <w:tcW w:w="105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3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</w:tr>
      <w:tr w:rsidR="00B2070C" w:rsidRPr="00760BDE">
        <w:trPr>
          <w:trHeight w:val="416"/>
          <w:jc w:val="center"/>
        </w:trPr>
        <w:tc>
          <w:tcPr>
            <w:tcW w:w="81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Схема размещения планируемых объектов капитального строительства местного значения</w:t>
            </w:r>
          </w:p>
        </w:tc>
        <w:tc>
          <w:tcPr>
            <w:tcW w:w="105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</w:tr>
      <w:tr w:rsidR="00B2070C" w:rsidRPr="00760BDE">
        <w:trPr>
          <w:trHeight w:val="416"/>
          <w:jc w:val="center"/>
        </w:trPr>
        <w:tc>
          <w:tcPr>
            <w:tcW w:w="81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97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Схема функционального зонирования</w:t>
            </w:r>
          </w:p>
        </w:tc>
        <w:tc>
          <w:tcPr>
            <w:tcW w:w="105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3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</w:tr>
    </w:tbl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070C" w:rsidRPr="00334FA0" w:rsidRDefault="00B2070C" w:rsidP="00922A75">
      <w:pPr>
        <w:spacing w:after="0" w:line="360" w:lineRule="auto"/>
        <w:ind w:left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СОДЕРЖАНИЕ</w:t>
      </w:r>
    </w:p>
    <w:tbl>
      <w:tblPr>
        <w:tblpPr w:leftFromText="180" w:rightFromText="180" w:vertAnchor="text" w:horzAnchor="margin" w:tblpXSpec="center" w:tblpY="2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04"/>
        <w:gridCol w:w="1276"/>
      </w:tblGrid>
      <w:tr w:rsidR="00B2070C" w:rsidRPr="00760BDE">
        <w:trPr>
          <w:trHeight w:val="851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Номер страницы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Цели и задачи территориального планирования</w:t>
            </w:r>
          </w:p>
        </w:tc>
        <w:tc>
          <w:tcPr>
            <w:tcW w:w="1276" w:type="dxa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еречень мероприятий по территориальному планированию МО СП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Комсомольское</w:t>
            </w: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2.1.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Земельный фонд. Границы земель различных категорий</w:t>
            </w:r>
          </w:p>
        </w:tc>
        <w:tc>
          <w:tcPr>
            <w:tcW w:w="127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2.2.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Функциональное зонирование территории</w:t>
            </w:r>
          </w:p>
        </w:tc>
        <w:tc>
          <w:tcPr>
            <w:tcW w:w="127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2.3.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Численность населения. Жилищное строительство</w:t>
            </w:r>
          </w:p>
        </w:tc>
        <w:tc>
          <w:tcPr>
            <w:tcW w:w="1276" w:type="dxa"/>
          </w:tcPr>
          <w:p w:rsidR="00B2070C" w:rsidRPr="00334FA0" w:rsidRDefault="00B2070C" w:rsidP="00A54BAF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2.4.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Стратегические направления развития сельского поселения</w:t>
            </w:r>
          </w:p>
        </w:tc>
        <w:tc>
          <w:tcPr>
            <w:tcW w:w="1276" w:type="dxa"/>
          </w:tcPr>
          <w:p w:rsidR="00B2070C" w:rsidRPr="00334FA0" w:rsidRDefault="00B2070C" w:rsidP="00A54BAF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2.5.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127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2.6.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1276" w:type="dxa"/>
          </w:tcPr>
          <w:p w:rsidR="00B2070C" w:rsidRPr="00334FA0" w:rsidRDefault="00B2070C" w:rsidP="00A54BAF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2.7.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276" w:type="dxa"/>
          </w:tcPr>
          <w:p w:rsidR="00B2070C" w:rsidRPr="00334FA0" w:rsidRDefault="00B2070C" w:rsidP="00A54BAF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2.8.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Состав и границы зон с особыми условиями использования территории</w:t>
            </w:r>
          </w:p>
        </w:tc>
        <w:tc>
          <w:tcPr>
            <w:tcW w:w="127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2.9.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Перечень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2.10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27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2.11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охране объектов культурного наследия</w:t>
            </w:r>
          </w:p>
        </w:tc>
        <w:tc>
          <w:tcPr>
            <w:tcW w:w="127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B2070C" w:rsidRPr="00760BDE">
        <w:trPr>
          <w:trHeight w:val="454"/>
        </w:trPr>
        <w:tc>
          <w:tcPr>
            <w:tcW w:w="709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7904" w:type="dxa"/>
          </w:tcPr>
          <w:p w:rsidR="00B2070C" w:rsidRPr="00334FA0" w:rsidRDefault="00B2070C" w:rsidP="00A54BA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Перечень планируемых объектов капитального строительства местного значения</w:t>
            </w:r>
          </w:p>
        </w:tc>
        <w:tc>
          <w:tcPr>
            <w:tcW w:w="1276" w:type="dxa"/>
            <w:vAlign w:val="center"/>
          </w:tcPr>
          <w:p w:rsidR="00B2070C" w:rsidRPr="00334FA0" w:rsidRDefault="00B2070C" w:rsidP="00A54BAF">
            <w:pPr>
              <w:spacing w:after="0" w:line="240" w:lineRule="auto"/>
              <w:ind w:firstLine="3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</w:tbl>
    <w:p w:rsidR="00B2070C" w:rsidRDefault="00B2070C" w:rsidP="00080992">
      <w:pPr>
        <w:spacing w:after="0" w:line="360" w:lineRule="auto"/>
        <w:ind w:left="1069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B2070C" w:rsidRDefault="00B2070C" w:rsidP="00080992">
      <w:pPr>
        <w:spacing w:after="0" w:line="360" w:lineRule="auto"/>
        <w:ind w:left="1069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B2070C" w:rsidRDefault="00B2070C" w:rsidP="00080992">
      <w:pPr>
        <w:spacing w:after="0" w:line="360" w:lineRule="auto"/>
        <w:ind w:left="1069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B2070C" w:rsidRPr="00334FA0" w:rsidRDefault="00B2070C" w:rsidP="00080992">
      <w:pPr>
        <w:spacing w:after="0" w:line="360" w:lineRule="auto"/>
        <w:ind w:left="1069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B2070C" w:rsidRPr="00334FA0" w:rsidRDefault="00B2070C" w:rsidP="00080992">
      <w:pPr>
        <w:spacing w:after="0" w:line="360" w:lineRule="auto"/>
        <w:ind w:left="1069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B2070C" w:rsidRPr="00334FA0" w:rsidRDefault="00B2070C" w:rsidP="00922A75">
      <w:pPr>
        <w:numPr>
          <w:ilvl w:val="0"/>
          <w:numId w:val="1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ЦЕЛИ И ЗАДАЧИ ТЕРРИТОРИАЛЬНОГО ПЛАНИРОВАНИЯ</w:t>
      </w:r>
    </w:p>
    <w:p w:rsidR="00B2070C" w:rsidRPr="00334FA0" w:rsidRDefault="00B2070C" w:rsidP="00922A75">
      <w:pPr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Генеральный план поселения</w:t>
      </w: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территории поселения,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Цели и задачи </w:t>
      </w: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генерального плана: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- определение долгосрочной стратегии развития территории;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- разработка функционально-планировочной организации территории, разработка основных направлений развития инженерно-транспортной инфраструктуры;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- определение зон градостроительной активности на основе комплексного анализа экономических, социальных, экологических, историко-культурных и градостроительных условий, исходя из ресурсного потенциала территории.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Положения генерального плана МО СП «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»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  <w:r w:rsidRPr="00334FA0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 </w:t>
      </w:r>
    </w:p>
    <w:p w:rsidR="00B2070C" w:rsidRPr="00334FA0" w:rsidRDefault="00B2070C" w:rsidP="00922A75">
      <w:pPr>
        <w:tabs>
          <w:tab w:val="left" w:pos="5481"/>
        </w:tabs>
        <w:spacing w:after="0" w:line="360" w:lineRule="auto"/>
        <w:ind w:hanging="357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B2070C" w:rsidRPr="00334FA0" w:rsidRDefault="00B2070C" w:rsidP="00922A75">
      <w:pPr>
        <w:numPr>
          <w:ilvl w:val="0"/>
          <w:numId w:val="1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ПО ТЕРРИТОРИАЛЬНОМУ ПЛАНИРОВАНИЮ МО СП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B2070C" w:rsidRPr="00334FA0" w:rsidRDefault="00B2070C" w:rsidP="00922A75">
      <w:pPr>
        <w:tabs>
          <w:tab w:val="left" w:pos="5481"/>
        </w:tabs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2.1. </w:t>
      </w: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 xml:space="preserve">Земельный фонд. Границы земель различных категорий </w:t>
      </w:r>
    </w:p>
    <w:p w:rsidR="00B2070C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Территорию муниципального образования составляют исторически сложившиеся земли поселения, прилегающие к нему земли общего пользования, территории традиционного природопользования и земли для развития поселения. </w:t>
      </w:r>
    </w:p>
    <w:p w:rsidR="00B2070C" w:rsidRPr="00334FA0" w:rsidRDefault="00B2070C" w:rsidP="00D632A4">
      <w:pPr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Таблица 1</w:t>
      </w:r>
    </w:p>
    <w:tbl>
      <w:tblPr>
        <w:tblW w:w="10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5552"/>
        <w:gridCol w:w="1022"/>
        <w:gridCol w:w="1372"/>
        <w:gridCol w:w="1613"/>
      </w:tblGrid>
      <w:tr w:rsidR="00B2070C" w:rsidRPr="00760BDE">
        <w:trPr>
          <w:jc w:val="center"/>
        </w:trPr>
        <w:tc>
          <w:tcPr>
            <w:tcW w:w="670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52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1022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Ед. изм</w:t>
            </w:r>
          </w:p>
        </w:tc>
        <w:tc>
          <w:tcPr>
            <w:tcW w:w="1372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Исх. Год (2012 г.)</w:t>
            </w:r>
          </w:p>
        </w:tc>
        <w:tc>
          <w:tcPr>
            <w:tcW w:w="1613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Расчётный срок</w:t>
            </w:r>
          </w:p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(2032 г.)</w:t>
            </w:r>
          </w:p>
        </w:tc>
      </w:tr>
      <w:tr w:rsidR="00B2070C" w:rsidRPr="00760BDE">
        <w:trPr>
          <w:jc w:val="center"/>
        </w:trPr>
        <w:tc>
          <w:tcPr>
            <w:tcW w:w="670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52" w:type="dxa"/>
          </w:tcPr>
          <w:p w:rsidR="00B2070C" w:rsidRPr="00334FA0" w:rsidRDefault="00B2070C" w:rsidP="00922A7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Земли населенных пунктов</w:t>
            </w:r>
          </w:p>
        </w:tc>
        <w:tc>
          <w:tcPr>
            <w:tcW w:w="102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37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1613" w:type="dxa"/>
          </w:tcPr>
          <w:p w:rsidR="00B2070C" w:rsidRPr="00334FA0" w:rsidRDefault="00B2070C" w:rsidP="001057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222,0</w:t>
            </w:r>
          </w:p>
        </w:tc>
      </w:tr>
      <w:tr w:rsidR="00B2070C" w:rsidRPr="00760BDE">
        <w:trPr>
          <w:jc w:val="center"/>
        </w:trPr>
        <w:tc>
          <w:tcPr>
            <w:tcW w:w="670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52" w:type="dxa"/>
          </w:tcPr>
          <w:p w:rsidR="00B2070C" w:rsidRPr="00334FA0" w:rsidRDefault="00B2070C" w:rsidP="00922A7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02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37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14950,3</w:t>
            </w:r>
          </w:p>
        </w:tc>
        <w:tc>
          <w:tcPr>
            <w:tcW w:w="1613" w:type="dxa"/>
          </w:tcPr>
          <w:p w:rsidR="00B2070C" w:rsidRPr="00334FA0" w:rsidRDefault="00B2070C" w:rsidP="001057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14950,3</w:t>
            </w:r>
          </w:p>
        </w:tc>
      </w:tr>
      <w:tr w:rsidR="00B2070C" w:rsidRPr="00760BDE">
        <w:trPr>
          <w:jc w:val="center"/>
        </w:trPr>
        <w:tc>
          <w:tcPr>
            <w:tcW w:w="670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52" w:type="dxa"/>
          </w:tcPr>
          <w:p w:rsidR="00B2070C" w:rsidRPr="00334FA0" w:rsidRDefault="00B2070C" w:rsidP="00922A7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Земли промышленности, энергетики, транспорта, связи, телевидения</w:t>
            </w:r>
          </w:p>
        </w:tc>
        <w:tc>
          <w:tcPr>
            <w:tcW w:w="102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37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3" w:type="dxa"/>
          </w:tcPr>
          <w:p w:rsidR="00B2070C" w:rsidRPr="00334FA0" w:rsidRDefault="00B2070C" w:rsidP="001057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-</w:t>
            </w:r>
          </w:p>
        </w:tc>
      </w:tr>
      <w:tr w:rsidR="00B2070C" w:rsidRPr="00760BDE">
        <w:trPr>
          <w:jc w:val="center"/>
        </w:trPr>
        <w:tc>
          <w:tcPr>
            <w:tcW w:w="670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52" w:type="dxa"/>
          </w:tcPr>
          <w:p w:rsidR="00B2070C" w:rsidRPr="00334FA0" w:rsidRDefault="00B2070C" w:rsidP="00922A7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Земли лесного фонда</w:t>
            </w:r>
          </w:p>
        </w:tc>
        <w:tc>
          <w:tcPr>
            <w:tcW w:w="102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37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19335,0</w:t>
            </w:r>
          </w:p>
        </w:tc>
        <w:tc>
          <w:tcPr>
            <w:tcW w:w="1613" w:type="dxa"/>
          </w:tcPr>
          <w:p w:rsidR="00B2070C" w:rsidRPr="00334FA0" w:rsidRDefault="00B2070C" w:rsidP="001057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19335,0</w:t>
            </w:r>
          </w:p>
        </w:tc>
      </w:tr>
      <w:tr w:rsidR="00B2070C" w:rsidRPr="00760BDE">
        <w:trPr>
          <w:jc w:val="center"/>
        </w:trPr>
        <w:tc>
          <w:tcPr>
            <w:tcW w:w="670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52" w:type="dxa"/>
          </w:tcPr>
          <w:p w:rsidR="00B2070C" w:rsidRPr="00334FA0" w:rsidRDefault="00B2070C" w:rsidP="00922A7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Земли водного фонда</w:t>
            </w:r>
          </w:p>
        </w:tc>
        <w:tc>
          <w:tcPr>
            <w:tcW w:w="102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37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87,1</w:t>
            </w:r>
          </w:p>
        </w:tc>
        <w:tc>
          <w:tcPr>
            <w:tcW w:w="1613" w:type="dxa"/>
          </w:tcPr>
          <w:p w:rsidR="00B2070C" w:rsidRPr="00334FA0" w:rsidRDefault="00B2070C" w:rsidP="001057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87,1</w:t>
            </w:r>
          </w:p>
        </w:tc>
      </w:tr>
      <w:tr w:rsidR="00B2070C" w:rsidRPr="00760BDE">
        <w:trPr>
          <w:jc w:val="center"/>
        </w:trPr>
        <w:tc>
          <w:tcPr>
            <w:tcW w:w="670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2" w:type="dxa"/>
          </w:tcPr>
          <w:p w:rsidR="00B2070C" w:rsidRPr="00334FA0" w:rsidRDefault="00B2070C" w:rsidP="00922A7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Земли особо охраняемых природных территорий и объектов</w:t>
            </w:r>
          </w:p>
        </w:tc>
        <w:tc>
          <w:tcPr>
            <w:tcW w:w="102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37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3" w:type="dxa"/>
          </w:tcPr>
          <w:p w:rsidR="00B2070C" w:rsidRPr="00334FA0" w:rsidRDefault="00B2070C" w:rsidP="001057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-</w:t>
            </w:r>
          </w:p>
        </w:tc>
      </w:tr>
      <w:tr w:rsidR="00B2070C" w:rsidRPr="00760BDE">
        <w:trPr>
          <w:jc w:val="center"/>
        </w:trPr>
        <w:tc>
          <w:tcPr>
            <w:tcW w:w="670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52" w:type="dxa"/>
          </w:tcPr>
          <w:p w:rsidR="00B2070C" w:rsidRPr="00334FA0" w:rsidRDefault="00B2070C" w:rsidP="00922A7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Земли запаса</w:t>
            </w:r>
          </w:p>
        </w:tc>
        <w:tc>
          <w:tcPr>
            <w:tcW w:w="102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37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3" w:type="dxa"/>
          </w:tcPr>
          <w:p w:rsidR="00B2070C" w:rsidRPr="00334FA0" w:rsidRDefault="00B2070C" w:rsidP="001057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-</w:t>
            </w:r>
          </w:p>
        </w:tc>
      </w:tr>
      <w:tr w:rsidR="00B2070C" w:rsidRPr="00760BDE">
        <w:trPr>
          <w:jc w:val="center"/>
        </w:trPr>
        <w:tc>
          <w:tcPr>
            <w:tcW w:w="670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552" w:type="dxa"/>
          </w:tcPr>
          <w:p w:rsidR="00B2070C" w:rsidRPr="00334FA0" w:rsidRDefault="00B2070C" w:rsidP="00922A7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Общая площадь в границах поселения</w:t>
            </w:r>
          </w:p>
        </w:tc>
        <w:tc>
          <w:tcPr>
            <w:tcW w:w="1022" w:type="dxa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372" w:type="dxa"/>
          </w:tcPr>
          <w:p w:rsidR="00B2070C" w:rsidRPr="00334FA0" w:rsidRDefault="00B2070C" w:rsidP="00CE3F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34594,4</w:t>
            </w:r>
          </w:p>
        </w:tc>
        <w:tc>
          <w:tcPr>
            <w:tcW w:w="1613" w:type="dxa"/>
          </w:tcPr>
          <w:p w:rsidR="00B2070C" w:rsidRPr="00334FA0" w:rsidRDefault="00B2070C" w:rsidP="001057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34594,4</w:t>
            </w:r>
          </w:p>
        </w:tc>
      </w:tr>
    </w:tbl>
    <w:p w:rsidR="00B2070C" w:rsidRPr="00334FA0" w:rsidRDefault="00B2070C" w:rsidP="00922A75">
      <w:pPr>
        <w:tabs>
          <w:tab w:val="left" w:pos="5481"/>
        </w:tabs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2070C" w:rsidRPr="00334FA0" w:rsidRDefault="00B2070C" w:rsidP="00922A75">
      <w:pPr>
        <w:tabs>
          <w:tab w:val="left" w:pos="5481"/>
        </w:tabs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2.2. Функциональное зонирование</w:t>
      </w:r>
    </w:p>
    <w:p w:rsidR="00B2070C" w:rsidRDefault="00B2070C" w:rsidP="00922A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070C" w:rsidRPr="00334FA0" w:rsidRDefault="00B2070C" w:rsidP="00922A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Территориальное зонирование – зонирование территории по ее основной функции и возможностям к тому или иному виду освоения на базе комплексной оценки территории. Функциональное зонирование территории поселения выполнено с учетом обеспечения благоприятной среды жизнедеятельности, предотвращения чрезмерной концентрации населения и производств, охраны от загрязнения окружающей природной среды, сохранения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 </w:t>
      </w:r>
    </w:p>
    <w:p w:rsidR="00B2070C" w:rsidRPr="00334FA0" w:rsidRDefault="00B2070C" w:rsidP="00922A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Согласно «Градостроительному Кодексу» и с учетом современного использования территории выделяются следующие территориальные зоны: жилые, общественно-деловые, производственные зоны, зоны инженерной и транспортной инфраструктур, зоны сельскохозяйственного использования, зоны рекреационного назначения, зоны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 xml:space="preserve">Общая площадь муниципального образования –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34594,4</w:t>
      </w: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га. Территорию муниципального образования составляют исторически сложившиеся земли поселения, прилегающие к нему земли общего пользования, территории традиционного природопользования и земли для развития поселения. 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Зонирование территории:</w:t>
      </w:r>
    </w:p>
    <w:p w:rsidR="00B2070C" w:rsidRPr="00334FA0" w:rsidRDefault="00B2070C" w:rsidP="00922A75">
      <w:pPr>
        <w:numPr>
          <w:ilvl w:val="0"/>
          <w:numId w:val="6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 xml:space="preserve">жилые территории (территория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села Комсомольское</w:t>
      </w: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);</w:t>
      </w:r>
    </w:p>
    <w:p w:rsidR="00B2070C" w:rsidRPr="00334FA0" w:rsidRDefault="00B2070C" w:rsidP="00922A75">
      <w:pPr>
        <w:numPr>
          <w:ilvl w:val="0"/>
          <w:numId w:val="6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территории сельскохозяйственного использования (пастбища, сенокосы, паевые земли, крестьянские фермерские хозяйства);</w:t>
      </w:r>
    </w:p>
    <w:p w:rsidR="00B2070C" w:rsidRPr="00334FA0" w:rsidRDefault="00B2070C" w:rsidP="00922A75">
      <w:pPr>
        <w:numPr>
          <w:ilvl w:val="0"/>
          <w:numId w:val="6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территории специального назначения (кладбища, полигоны ТБО, скотомогильники);</w:t>
      </w:r>
    </w:p>
    <w:p w:rsidR="00B2070C" w:rsidRPr="00334FA0" w:rsidRDefault="00B2070C" w:rsidP="00922A75">
      <w:pPr>
        <w:numPr>
          <w:ilvl w:val="0"/>
          <w:numId w:val="6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территории транспортной инфраструктуры (автомобильная дорога с придорожной полосой);</w:t>
      </w:r>
    </w:p>
    <w:p w:rsidR="00B2070C" w:rsidRPr="00334FA0" w:rsidRDefault="00B2070C" w:rsidP="00922A75">
      <w:pPr>
        <w:numPr>
          <w:ilvl w:val="0"/>
          <w:numId w:val="6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территории инженерной инфраструктуры (водозаборные сооружения с поясами санитарной охраны, ЛЭПы, трансформаторные подстанции);</w:t>
      </w:r>
    </w:p>
    <w:p w:rsidR="00B2070C" w:rsidRPr="00334FA0" w:rsidRDefault="00B2070C" w:rsidP="00922A75">
      <w:pPr>
        <w:numPr>
          <w:ilvl w:val="0"/>
          <w:numId w:val="6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рекреационные территории (места отдыха населения);</w:t>
      </w:r>
    </w:p>
    <w:p w:rsidR="00B2070C" w:rsidRPr="00334FA0" w:rsidRDefault="00B2070C" w:rsidP="00922A75">
      <w:pPr>
        <w:numPr>
          <w:ilvl w:val="0"/>
          <w:numId w:val="6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особо охраняемые территории и объекты (водоохранные зоны, объекты культурного наследия).</w:t>
      </w:r>
    </w:p>
    <w:p w:rsidR="00B2070C" w:rsidRPr="00334FA0" w:rsidRDefault="00B2070C" w:rsidP="00922A75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eastAsia="en-US"/>
        </w:rPr>
      </w:pPr>
    </w:p>
    <w:p w:rsidR="00B2070C" w:rsidRPr="00334FA0" w:rsidRDefault="00B2070C" w:rsidP="00922A75">
      <w:pPr>
        <w:spacing w:after="0" w:line="360" w:lineRule="auto"/>
        <w:ind w:left="106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2.3. Численность населения. Жилищное строительство</w:t>
      </w:r>
    </w:p>
    <w:p w:rsidR="00B2070C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Ниже приводится ориентировочный расчет перспективной численности населения МО СП «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» исходя из его экономической базы, имеющихся территориальных возможностей для перспективного развития и эколого-градостроительного положения в системе расселения.</w:t>
      </w:r>
    </w:p>
    <w:p w:rsidR="00B2070C" w:rsidRPr="00334FA0" w:rsidRDefault="00B2070C" w:rsidP="00922A75">
      <w:pPr>
        <w:spacing w:after="0" w:line="360" w:lineRule="auto"/>
        <w:ind w:firstLine="709"/>
        <w:jc w:val="right"/>
        <w:rPr>
          <w:rFonts w:ascii="Times New Roman CYR" w:hAnsi="Times New Roman CYR" w:cs="Times New Roman CYR"/>
          <w:b/>
          <w:bCs/>
          <w:sz w:val="24"/>
          <w:szCs w:val="24"/>
          <w:highlight w:val="yellow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5"/>
        <w:gridCol w:w="2439"/>
        <w:gridCol w:w="2132"/>
        <w:gridCol w:w="2268"/>
      </w:tblGrid>
      <w:tr w:rsidR="00B2070C" w:rsidRPr="00760BDE">
        <w:trPr>
          <w:jc w:val="center"/>
        </w:trPr>
        <w:tc>
          <w:tcPr>
            <w:tcW w:w="2305" w:type="dxa"/>
            <w:vAlign w:val="center"/>
          </w:tcPr>
          <w:p w:rsidR="00B2070C" w:rsidRPr="00334FA0" w:rsidRDefault="00B2070C" w:rsidP="00922A75">
            <w:p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vAlign w:val="center"/>
          </w:tcPr>
          <w:p w:rsidR="00B2070C" w:rsidRPr="00334FA0" w:rsidRDefault="00B2070C" w:rsidP="00922A75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Сущ. численность</w:t>
            </w:r>
          </w:p>
          <w:p w:rsidR="00B2070C" w:rsidRPr="00334FA0" w:rsidRDefault="00B2070C" w:rsidP="00922A75">
            <w:p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2132" w:type="dxa"/>
            <w:vAlign w:val="center"/>
          </w:tcPr>
          <w:p w:rsidR="00B2070C" w:rsidRPr="00334FA0" w:rsidRDefault="00B2070C" w:rsidP="00922A75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Первая очередь </w:t>
            </w:r>
          </w:p>
          <w:p w:rsidR="00B2070C" w:rsidRPr="00334FA0" w:rsidRDefault="00B2070C" w:rsidP="00922A75">
            <w:p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68" w:type="dxa"/>
            <w:vAlign w:val="center"/>
          </w:tcPr>
          <w:p w:rsidR="00B2070C" w:rsidRPr="00334FA0" w:rsidRDefault="00B2070C" w:rsidP="00922A75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Расчетный срок </w:t>
            </w:r>
          </w:p>
          <w:p w:rsidR="00B2070C" w:rsidRPr="00334FA0" w:rsidRDefault="00B2070C" w:rsidP="00922A75">
            <w:p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2032</w:t>
            </w:r>
          </w:p>
        </w:tc>
      </w:tr>
      <w:tr w:rsidR="00B2070C" w:rsidRPr="00760BDE">
        <w:trPr>
          <w:jc w:val="center"/>
        </w:trPr>
        <w:tc>
          <w:tcPr>
            <w:tcW w:w="2305" w:type="dxa"/>
            <w:vAlign w:val="center"/>
          </w:tcPr>
          <w:p w:rsidR="00B2070C" w:rsidRPr="00334FA0" w:rsidRDefault="00B2070C" w:rsidP="00922A75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 Комсомольское</w:t>
            </w:r>
          </w:p>
        </w:tc>
        <w:tc>
          <w:tcPr>
            <w:tcW w:w="2439" w:type="dxa"/>
            <w:vAlign w:val="center"/>
          </w:tcPr>
          <w:p w:rsidR="00B2070C" w:rsidRPr="00334FA0" w:rsidRDefault="00B2070C" w:rsidP="00922A75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717</w:t>
            </w:r>
          </w:p>
        </w:tc>
        <w:tc>
          <w:tcPr>
            <w:tcW w:w="2132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2268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905</w:t>
            </w:r>
          </w:p>
        </w:tc>
      </w:tr>
    </w:tbl>
    <w:p w:rsidR="00B2070C" w:rsidRPr="00334FA0" w:rsidRDefault="00B2070C" w:rsidP="00922A75">
      <w:pPr>
        <w:spacing w:after="0" w:line="360" w:lineRule="auto"/>
        <w:ind w:left="714" w:hanging="357"/>
        <w:jc w:val="both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eastAsia="en-US"/>
        </w:rPr>
      </w:pP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Генеральным планом МО СП «</w:t>
      </w:r>
      <w:r>
        <w:rPr>
          <w:rFonts w:ascii="Times New Roman CYR" w:hAnsi="Times New Roman CYR" w:cs="Times New Roman CYR"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</w:rPr>
        <w:t>»  предполагается прибавление жилого фонда за счет строительства индивидуальных жилых домов усадебного типа. Генеральным планом намечено увеличение жилых территорий населенных пунктов поселения, на которых предполагается развитие жилой застройки с обеспечением жителей объектами инфраструктуры, что создаст их самодостаточность.</w:t>
      </w:r>
    </w:p>
    <w:p w:rsidR="00B2070C" w:rsidRPr="00334FA0" w:rsidRDefault="00B2070C" w:rsidP="00922A75">
      <w:pPr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3544"/>
        <w:gridCol w:w="1842"/>
        <w:gridCol w:w="1897"/>
      </w:tblGrid>
      <w:tr w:rsidR="00B2070C" w:rsidRPr="00760BDE">
        <w:trPr>
          <w:jc w:val="center"/>
        </w:trPr>
        <w:tc>
          <w:tcPr>
            <w:tcW w:w="2182" w:type="dxa"/>
            <w:vMerge w:val="restart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Наименование села</w:t>
            </w:r>
          </w:p>
        </w:tc>
        <w:tc>
          <w:tcPr>
            <w:tcW w:w="3544" w:type="dxa"/>
            <w:vMerge w:val="restart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Направления территориального развития</w:t>
            </w:r>
          </w:p>
        </w:tc>
        <w:tc>
          <w:tcPr>
            <w:tcW w:w="3739" w:type="dxa"/>
            <w:gridSpan w:val="2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Площадь, га</w:t>
            </w:r>
          </w:p>
        </w:tc>
      </w:tr>
      <w:tr w:rsidR="00B2070C" w:rsidRPr="00760BDE">
        <w:trPr>
          <w:jc w:val="center"/>
        </w:trPr>
        <w:tc>
          <w:tcPr>
            <w:tcW w:w="2182" w:type="dxa"/>
            <w:vMerge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Расч. Срок 2022 год</w:t>
            </w:r>
          </w:p>
        </w:tc>
        <w:tc>
          <w:tcPr>
            <w:tcW w:w="1897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  <w:r w:rsidRPr="00334FA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  <w:t>в т.ч. на 1 очередь 2032</w:t>
            </w:r>
          </w:p>
        </w:tc>
      </w:tr>
      <w:tr w:rsidR="00B2070C" w:rsidRPr="00760BDE">
        <w:trPr>
          <w:jc w:val="center"/>
        </w:trPr>
        <w:tc>
          <w:tcPr>
            <w:tcW w:w="2182" w:type="dxa"/>
            <w:vAlign w:val="center"/>
          </w:tcPr>
          <w:p w:rsidR="00B2070C" w:rsidRPr="00334FA0" w:rsidRDefault="00B2070C" w:rsidP="00922A75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 Комсомольское</w:t>
            </w:r>
          </w:p>
        </w:tc>
        <w:tc>
          <w:tcPr>
            <w:tcW w:w="3544" w:type="dxa"/>
            <w:vAlign w:val="center"/>
          </w:tcPr>
          <w:p w:rsidR="00B2070C" w:rsidRPr="00334FA0" w:rsidRDefault="00B2070C" w:rsidP="00986DC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16,0 </w:t>
            </w: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га в границах существующей застройки</w:t>
            </w:r>
          </w:p>
        </w:tc>
        <w:tc>
          <w:tcPr>
            <w:tcW w:w="1842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27</w:t>
            </w: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уч. по 0,3 га</w:t>
            </w:r>
          </w:p>
        </w:tc>
        <w:tc>
          <w:tcPr>
            <w:tcW w:w="1897" w:type="dxa"/>
            <w:vAlign w:val="center"/>
          </w:tcPr>
          <w:p w:rsidR="00B2070C" w:rsidRPr="00334FA0" w:rsidRDefault="00B2070C" w:rsidP="00922A7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27</w:t>
            </w:r>
            <w:r w:rsidRPr="00334FA0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уч. по 0,3 га</w:t>
            </w:r>
          </w:p>
        </w:tc>
      </w:tr>
    </w:tbl>
    <w:p w:rsidR="00B2070C" w:rsidRPr="00334FA0" w:rsidRDefault="00B2070C" w:rsidP="00922A75">
      <w:pPr>
        <w:tabs>
          <w:tab w:val="left" w:pos="5481"/>
        </w:tabs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eastAsia="en-US"/>
        </w:rPr>
      </w:pPr>
    </w:p>
    <w:p w:rsidR="00B2070C" w:rsidRPr="00334FA0" w:rsidRDefault="00B2070C" w:rsidP="00922A75">
      <w:pPr>
        <w:tabs>
          <w:tab w:val="left" w:pos="5481"/>
        </w:tabs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2.4. </w:t>
      </w: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Стратегические направления развития поселения </w:t>
      </w:r>
    </w:p>
    <w:p w:rsidR="00B2070C" w:rsidRDefault="00B2070C" w:rsidP="00F726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070C" w:rsidRPr="00334FA0" w:rsidRDefault="00B2070C" w:rsidP="00F726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Основу для стабильного экономического и социального развития в среднесрочной и долгосрочной перспективе определяют конкурентные преимущества поселения, которые сводятся к следующим направлениям:</w:t>
      </w:r>
    </w:p>
    <w:p w:rsidR="00B2070C" w:rsidRPr="004F00CC" w:rsidRDefault="00B2070C" w:rsidP="004F00CC">
      <w:pPr>
        <w:spacing w:after="0" w:line="360" w:lineRule="auto"/>
        <w:ind w:firstLine="709"/>
        <w:jc w:val="both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F00CC">
        <w:rPr>
          <w:rFonts w:ascii="Times New Roman CYR" w:hAnsi="Times New Roman CYR" w:cs="Times New Roman CYR"/>
          <w:b/>
          <w:bCs/>
          <w:sz w:val="24"/>
          <w:szCs w:val="24"/>
        </w:rPr>
        <w:t>Развитие малого бизнеса.</w:t>
      </w:r>
    </w:p>
    <w:p w:rsidR="00B2070C" w:rsidRPr="004F00CC" w:rsidRDefault="00B2070C" w:rsidP="004F00CC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F00CC">
        <w:rPr>
          <w:rFonts w:ascii="Times New Roman CYR" w:hAnsi="Times New Roman CYR" w:cs="Times New Roman CYR"/>
          <w:sz w:val="24"/>
          <w:szCs w:val="24"/>
        </w:rPr>
        <w:t xml:space="preserve">Важная роль в развитии экономического потенциала принадлежит малому бизнесу, который обеспечивает создание дополнительных рабочих мест, способствует оптимизации структуры промышленного комплекса и насыщению рынка товарами и услугами. Программой социально-экономического развития предусмотрено увеличение числа субъектов малого предпринимательства, основное внимание предлагается уделить развитию предпринимательства в сельскохозяйственной сфере – мясному и молочному животноводству. </w:t>
      </w:r>
    </w:p>
    <w:p w:rsidR="00B2070C" w:rsidRPr="004F00CC" w:rsidRDefault="00B2070C" w:rsidP="004F00CC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4"/>
          <w:sz w:val="24"/>
          <w:szCs w:val="24"/>
          <w:lang w:eastAsia="en-US"/>
        </w:rPr>
      </w:pPr>
      <w:r w:rsidRPr="004F00CC">
        <w:rPr>
          <w:rFonts w:ascii="Times New Roman CYR" w:hAnsi="Times New Roman CYR" w:cs="Times New Roman CYR"/>
          <w:kern w:val="24"/>
          <w:sz w:val="24"/>
          <w:szCs w:val="24"/>
          <w:lang w:eastAsia="en-US"/>
        </w:rPr>
        <w:t xml:space="preserve">Необходим рост доли предприятий малого бизнеса, работающих в сфере предоставления услуг, в том числе услуг ЖКХ, общественного питания, бытового и социального обслуживания населения, а также предоставления спортивных и туристско-рекреационных услуг. В рамках национального проекта по развитию АПК, перспективно развитие малого предпринимательства в сельском хозяйстве и смежных обслуживающих производств. </w:t>
      </w:r>
    </w:p>
    <w:p w:rsidR="00B2070C" w:rsidRDefault="00B2070C" w:rsidP="004F00CC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F00CC">
        <w:rPr>
          <w:rFonts w:ascii="Times New Roman CYR" w:hAnsi="Times New Roman CYR" w:cs="Times New Roman CYR"/>
          <w:kern w:val="24"/>
          <w:sz w:val="24"/>
          <w:szCs w:val="24"/>
          <w:lang w:eastAsia="en-US"/>
        </w:rPr>
        <w:t>Границы и площадь территорий, резервируемых для развития малых и средних производств, уточняются при наличии предложений конкретных проектов.</w:t>
      </w:r>
    </w:p>
    <w:p w:rsidR="00B2070C" w:rsidRPr="00416BAB" w:rsidRDefault="00B2070C" w:rsidP="004A283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Основной целью развития </w:t>
      </w:r>
      <w:r w:rsidRPr="00416BAB">
        <w:rPr>
          <w:rFonts w:ascii="Times New Roman CYR" w:hAnsi="Times New Roman CYR" w:cs="Times New Roman CYR"/>
          <w:b/>
          <w:bCs/>
          <w:sz w:val="24"/>
          <w:szCs w:val="24"/>
        </w:rPr>
        <w:t>лесопромышленного комплекса</w:t>
      </w:r>
      <w:r w:rsidRPr="00416BAB">
        <w:rPr>
          <w:rFonts w:ascii="Times New Roman CYR" w:hAnsi="Times New Roman CYR" w:cs="Times New Roman CYR"/>
          <w:sz w:val="24"/>
          <w:szCs w:val="24"/>
        </w:rPr>
        <w:t xml:space="preserve"> является расширение рынка лесных ресурсов по видам пользования и вовлечение в хозяйственный оборот всех ресурсов леса. </w:t>
      </w:r>
    </w:p>
    <w:p w:rsidR="00B2070C" w:rsidRPr="00416BAB" w:rsidRDefault="00B2070C" w:rsidP="004A283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Мероприятия: </w:t>
      </w:r>
    </w:p>
    <w:p w:rsidR="00B2070C" w:rsidRPr="00416BAB" w:rsidRDefault="00B2070C" w:rsidP="004A2831">
      <w:pPr>
        <w:numPr>
          <w:ilvl w:val="0"/>
          <w:numId w:val="32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Расширение и развитие лесосырьевой базы; </w:t>
      </w:r>
    </w:p>
    <w:p w:rsidR="00B2070C" w:rsidRPr="00416BAB" w:rsidRDefault="00B2070C" w:rsidP="004A2831">
      <w:pPr>
        <w:numPr>
          <w:ilvl w:val="0"/>
          <w:numId w:val="32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Модернизация производственных мощностей предприятий лесопромышленного комплекса; </w:t>
      </w:r>
    </w:p>
    <w:p w:rsidR="00B2070C" w:rsidRPr="00416BAB" w:rsidRDefault="00B2070C" w:rsidP="004A2831">
      <w:pPr>
        <w:numPr>
          <w:ilvl w:val="0"/>
          <w:numId w:val="32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Сокращение незаконных рубок путем принятия мер организационного и административного характера. </w:t>
      </w:r>
    </w:p>
    <w:p w:rsidR="00B2070C" w:rsidRPr="00416BAB" w:rsidRDefault="00B2070C" w:rsidP="004A283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b/>
          <w:bCs/>
          <w:sz w:val="24"/>
          <w:szCs w:val="24"/>
        </w:rPr>
        <w:t>Агропромышленный комплекс</w:t>
      </w:r>
      <w:r w:rsidRPr="00416BAB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B2070C" w:rsidRPr="00416BAB" w:rsidRDefault="00B2070C" w:rsidP="004A283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Ввод в оборот неиспользуемой пашни и сохранение плодородия земель сельскохозяйственного назначения; </w:t>
      </w:r>
    </w:p>
    <w:p w:rsidR="00B2070C" w:rsidRPr="00416BAB" w:rsidRDefault="00B2070C" w:rsidP="004A283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Развитие племенного дела – закуп племенного скота, увеличение поголовья скота; </w:t>
      </w:r>
    </w:p>
    <w:p w:rsidR="00B2070C" w:rsidRPr="00416BAB" w:rsidRDefault="00B2070C" w:rsidP="004A283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Улучшение породных качеств скота; </w:t>
      </w:r>
    </w:p>
    <w:p w:rsidR="00B2070C" w:rsidRPr="00416BAB" w:rsidRDefault="00B2070C" w:rsidP="004A283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Улучшение сенокосов, увеличение объемов применения минеральных удобрений и средств химической защиты растений, внесение органических удобрений; </w:t>
      </w:r>
    </w:p>
    <w:p w:rsidR="00B2070C" w:rsidRPr="00416BAB" w:rsidRDefault="00B2070C" w:rsidP="004A283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Создание предприятия по выращиванию, хранению и переработке овощной продукции; </w:t>
      </w:r>
    </w:p>
    <w:p w:rsidR="00B2070C" w:rsidRPr="00416BAB" w:rsidRDefault="00B2070C" w:rsidP="004A283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 xml:space="preserve">Создание производств по сбору дикоросов; </w:t>
      </w:r>
    </w:p>
    <w:p w:rsidR="00B2070C" w:rsidRDefault="00B2070C" w:rsidP="004A2831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6BAB">
        <w:rPr>
          <w:rFonts w:ascii="Times New Roman CYR" w:hAnsi="Times New Roman CYR" w:cs="Times New Roman CYR"/>
          <w:b/>
          <w:bCs/>
          <w:sz w:val="24"/>
          <w:szCs w:val="24"/>
        </w:rPr>
        <w:t>Туризм</w:t>
      </w:r>
      <w:r w:rsidRPr="00416BAB">
        <w:rPr>
          <w:rFonts w:ascii="Times New Roman CYR" w:hAnsi="Times New Roman CYR" w:cs="Times New Roman CYR"/>
          <w:sz w:val="24"/>
          <w:szCs w:val="24"/>
        </w:rPr>
        <w:t xml:space="preserve">. Благоустройство и создание мест отдыха на источнике Погромкинский, на озере Долгое </w:t>
      </w:r>
    </w:p>
    <w:p w:rsidR="00B2070C" w:rsidRPr="00334FA0" w:rsidRDefault="00B2070C" w:rsidP="00094BF6">
      <w:pPr>
        <w:spacing w:after="0" w:line="36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070C" w:rsidRPr="00334FA0" w:rsidRDefault="00B2070C" w:rsidP="00922A75">
      <w:pPr>
        <w:numPr>
          <w:ilvl w:val="1"/>
          <w:numId w:val="11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Социальная инфраструктура</w:t>
      </w:r>
    </w:p>
    <w:p w:rsidR="00B2070C" w:rsidRDefault="00B2070C" w:rsidP="007649D8">
      <w:pPr>
        <w:pStyle w:val="ListParagraph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070C" w:rsidRPr="00334FA0" w:rsidRDefault="00B2070C" w:rsidP="007649D8">
      <w:pPr>
        <w:pStyle w:val="ListParagraph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34FA0">
        <w:rPr>
          <w:rFonts w:ascii="Times New Roman CYR" w:hAnsi="Times New Roman CYR" w:cs="Times New Roman CYR"/>
          <w:color w:val="000000"/>
          <w:sz w:val="24"/>
          <w:szCs w:val="24"/>
        </w:rPr>
        <w:t>Развитие и совершенствование сферы обслуживания – непременное условие устойчивого развития населенных пунктов, способствующее принципиальному улучшению жизни населения.</w:t>
      </w:r>
    </w:p>
    <w:p w:rsidR="00B2070C" w:rsidRPr="00334FA0" w:rsidRDefault="00B2070C" w:rsidP="007649D8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34FA0">
        <w:rPr>
          <w:rFonts w:ascii="Times New Roman CYR" w:hAnsi="Times New Roman CYR" w:cs="Times New Roman CYR"/>
          <w:color w:val="000000"/>
          <w:sz w:val="24"/>
          <w:szCs w:val="24"/>
        </w:rPr>
        <w:t>В целом, по вопросу формирования системы обслуживания в поселении, можно выделить основные направления, предусмотренные генеральным планом поселения:</w:t>
      </w:r>
    </w:p>
    <w:p w:rsidR="00B2070C" w:rsidRPr="00334FA0" w:rsidRDefault="00B2070C" w:rsidP="007649D8">
      <w:pPr>
        <w:numPr>
          <w:ilvl w:val="0"/>
          <w:numId w:val="23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34FA0">
        <w:rPr>
          <w:rFonts w:ascii="Times New Roman CYR" w:hAnsi="Times New Roman CYR" w:cs="Times New Roman CYR"/>
          <w:color w:val="000000"/>
          <w:sz w:val="24"/>
          <w:szCs w:val="24"/>
        </w:rPr>
        <w:t>обеспечение самодостаточности поселения по обеспечению населения сферой обслуживания;</w:t>
      </w:r>
    </w:p>
    <w:p w:rsidR="00B2070C" w:rsidRPr="00334FA0" w:rsidRDefault="00B2070C" w:rsidP="00210E28">
      <w:pPr>
        <w:numPr>
          <w:ilvl w:val="0"/>
          <w:numId w:val="23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34FA0">
        <w:rPr>
          <w:rFonts w:ascii="Times New Roman CYR" w:hAnsi="Times New Roman CYR" w:cs="Times New Roman CYR"/>
          <w:color w:val="000000"/>
          <w:sz w:val="24"/>
          <w:szCs w:val="24"/>
        </w:rPr>
        <w:t>стимулирование развития мелкого и среднего бизнеса в сфере предоставления услуг.</w:t>
      </w:r>
    </w:p>
    <w:p w:rsidR="00B2070C" w:rsidRPr="00334FA0" w:rsidRDefault="00B2070C" w:rsidP="00F61F6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Степень социальной зрелости каждого поселения, включая малочисленные, определяется наличием в нем полной номенклатуры объектов в указанных областях обслуживания на уровне, соответствующем его типологии, численности и месту в системе расселения.</w:t>
      </w:r>
    </w:p>
    <w:p w:rsidR="00B2070C" w:rsidRPr="00334FA0" w:rsidRDefault="00B2070C" w:rsidP="00F61F6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Нормативная база для определения номенклатуры и объемов культурно-бытового строительства формируется на основе СНиП 2.07.01-89* «Градостроительство. Планировка и застройка городских и сельских поселений». </w:t>
      </w:r>
    </w:p>
    <w:p w:rsidR="00B2070C" w:rsidRPr="00334FA0" w:rsidRDefault="00B2070C" w:rsidP="00F61F65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Уникальные объекты эпизодического спроса (театры, выставочные залы, спорткомплексы, университеты, научные центры, больница и прочие учреждения) концентрируются в республиканском центре г. Улан-Удэ и в районном центре с. Сосново-Озерское. Объекты культурно-бытового обслуживания населения расположены в пределах пешеходной доступности. </w:t>
      </w:r>
    </w:p>
    <w:p w:rsidR="00B2070C" w:rsidRPr="00334FA0" w:rsidRDefault="00B2070C" w:rsidP="00922A75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2070C" w:rsidRPr="00334FA0" w:rsidRDefault="00B2070C" w:rsidP="00922A75">
      <w:pPr>
        <w:numPr>
          <w:ilvl w:val="1"/>
          <w:numId w:val="11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Инженерная инфраструктура</w:t>
      </w:r>
    </w:p>
    <w:p w:rsidR="00B2070C" w:rsidRDefault="00B2070C" w:rsidP="00922A75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070C" w:rsidRPr="00334FA0" w:rsidRDefault="00B2070C" w:rsidP="00922A75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по водоснабжению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Для Мо СП «</w:t>
      </w:r>
      <w:r>
        <w:rPr>
          <w:rFonts w:ascii="Times New Roman CYR" w:hAnsi="Times New Roman CYR" w:cs="Times New Roman CYR"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» предусматривается развитие централизованного холодного водоснабжения водой питьевого качества. </w:t>
      </w:r>
    </w:p>
    <w:p w:rsidR="00B2070C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Для централизованного водоснабжения необходимо обустройство единого подземного водозабора. С целью приведения качества воды в соответствие с санитарными нормами, на водозаборе предусматривается строительство бактерицидной станции с двумя установками обеззараживания воды УОВ. </w:t>
      </w:r>
    </w:p>
    <w:p w:rsidR="00B2070C" w:rsidRDefault="00B2070C" w:rsidP="004A2831">
      <w:pPr>
        <w:numPr>
          <w:ilvl w:val="0"/>
          <w:numId w:val="33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>Строительство станций водоподготовки с. Комсомольское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2070C" w:rsidRPr="004A2831" w:rsidRDefault="00B2070C" w:rsidP="004A2831">
      <w:pPr>
        <w:numPr>
          <w:ilvl w:val="0"/>
          <w:numId w:val="33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A2831">
        <w:rPr>
          <w:rFonts w:ascii="Times New Roman CYR" w:hAnsi="Times New Roman CYR" w:cs="Times New Roman CYR"/>
          <w:sz w:val="24"/>
          <w:szCs w:val="24"/>
        </w:rPr>
        <w:t>Строительство водозаборных скважин в с. Комсомольское</w:t>
      </w:r>
    </w:p>
    <w:p w:rsidR="00B2070C" w:rsidRPr="00334FA0" w:rsidRDefault="00B2070C" w:rsidP="00922A75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по водоотведению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Для существующей и перспективной застройки проектируется централизованная сеть канализации. На первую очередь от общественно-административных зданий и жилой застройки предусматривается выгребная канализация за счет выгребов и надворных уборных с применением гидроизолированных снаружи и изнутри выгребов с вывозом стоков на проектируемые очистные сооружения полной биологической очистки. На расчетный срок проектируется устройство централизованной канализации. Для очистки и утилизации стоки планируется перекачивать на проектируемые локальные очистные сооружения. </w:t>
      </w:r>
    </w:p>
    <w:p w:rsidR="00B2070C" w:rsidRPr="00334FA0" w:rsidRDefault="00B2070C" w:rsidP="00922A75">
      <w:pPr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по газоснабжению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  <w:u w:val="single"/>
        </w:rPr>
        <w:t>Газоснабжение</w:t>
      </w:r>
      <w:r w:rsidRPr="00334FA0">
        <w:rPr>
          <w:rFonts w:ascii="Times New Roman CYR" w:hAnsi="Times New Roman CYR" w:cs="Times New Roman CYR"/>
          <w:sz w:val="24"/>
          <w:szCs w:val="24"/>
        </w:rPr>
        <w:t>. Развитие газоснабжения и газификации МО СП «</w:t>
      </w:r>
      <w:r>
        <w:rPr>
          <w:rFonts w:ascii="Times New Roman CYR" w:hAnsi="Times New Roman CYR" w:cs="Times New Roman CYR"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» предлагается осуществлять в 3 этапа. 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Этап 1 – газификация СУГ.</w:t>
      </w:r>
    </w:p>
    <w:p w:rsidR="00B2070C" w:rsidRPr="00334FA0" w:rsidRDefault="00B2070C" w:rsidP="00A3698B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Этап 2 – до 2015 г. газификация сжиженным природным газом (СПГ). На данном этапе к газификации принимаются крупные административные центры сельских поселений. Доставку СПГ предполагается осуществлять автомобильным и железнодорожным транспортом. </w:t>
      </w:r>
    </w:p>
    <w:p w:rsidR="00B2070C" w:rsidRPr="00334FA0" w:rsidRDefault="00B2070C" w:rsidP="00A3698B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Этап 3 – после 2015 г. Газификация сетевым природным газом.</w:t>
      </w:r>
    </w:p>
    <w:p w:rsidR="00B2070C" w:rsidRPr="00334FA0" w:rsidRDefault="00B2070C" w:rsidP="00922A75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по теплоснабжению</w:t>
      </w:r>
    </w:p>
    <w:p w:rsidR="00B2070C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Теплоснабжение для общественно-административной застройки МО СП «</w:t>
      </w:r>
      <w:r>
        <w:rPr>
          <w:rFonts w:ascii="Times New Roman CYR" w:hAnsi="Times New Roman CYR" w:cs="Times New Roman CYR"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</w:rPr>
        <w:t>» предусматривается централизованное и децентрализованное (от индивидуальных твердотопливных, газовых и электрических котлов, электрических отопительных приборов и нетрадиционных возобновляемых источников энергии – солнечных коллекторов). Отопление жилой усадебной застройки сохраняется печное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B2070C" w:rsidRDefault="00B2070C" w:rsidP="004A2831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>Замена ветхих теплосетей на объектах бюджетной сферы в с. Ком</w:t>
      </w:r>
      <w:r>
        <w:rPr>
          <w:rFonts w:ascii="Times New Roman CYR" w:hAnsi="Times New Roman CYR" w:cs="Times New Roman CYR"/>
          <w:sz w:val="24"/>
          <w:szCs w:val="24"/>
        </w:rPr>
        <w:t xml:space="preserve">сомольское </w:t>
      </w:r>
    </w:p>
    <w:p w:rsidR="00B2070C" w:rsidRPr="004A2831" w:rsidRDefault="00B2070C" w:rsidP="004A2831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4A2831">
        <w:rPr>
          <w:rFonts w:ascii="Times New Roman CYR" w:hAnsi="Times New Roman CYR" w:cs="Times New Roman CYR"/>
          <w:sz w:val="24"/>
          <w:szCs w:val="24"/>
        </w:rPr>
        <w:t>Реконструкция котельных бюджетной сферы в с. Комсомольское</w:t>
      </w:r>
    </w:p>
    <w:p w:rsidR="00B2070C" w:rsidRPr="00334FA0" w:rsidRDefault="00B2070C" w:rsidP="00922A75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по электроснабжению</w:t>
      </w:r>
    </w:p>
    <w:p w:rsidR="00B2070C" w:rsidRPr="00334FA0" w:rsidRDefault="00B2070C" w:rsidP="00922A75">
      <w:pPr>
        <w:shd w:val="clear" w:color="auto" w:fill="FFFFFF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-1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Генеральным планом </w:t>
      </w: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МО СП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r w:rsidRPr="00334FA0">
        <w:rPr>
          <w:rFonts w:ascii="Times New Roman CYR" w:hAnsi="Times New Roman CYR" w:cs="Times New Roman CYR"/>
          <w:sz w:val="24"/>
          <w:szCs w:val="24"/>
        </w:rPr>
        <w:t>, с учётом перспективного развития, предлагается развитие  и реконструкция сетей электроснабжения:</w:t>
      </w:r>
      <w:r w:rsidRPr="00334FA0">
        <w:rPr>
          <w:rFonts w:ascii="Times New Roman CYR" w:hAnsi="Times New Roman CYR" w:cs="Times New Roman CYR"/>
          <w:spacing w:val="-1"/>
          <w:sz w:val="24"/>
          <w:szCs w:val="24"/>
        </w:rPr>
        <w:t xml:space="preserve"> 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Существующие воздушные сети 0.4кВ, выполненные неизолированными проводами, поэтапно переводятся в  сети 0,4кВ, выполненные самонесущим изолированным проводом СИП2А на железобетонных или деревянных с ж/б приставками опорах, совместно с  наружным освещением. </w:t>
      </w:r>
    </w:p>
    <w:p w:rsidR="00B2070C" w:rsidRDefault="00B2070C" w:rsidP="004A2831">
      <w:pPr>
        <w:pStyle w:val="ListParagraph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 CYR" w:hAnsi="Times New Roman CYR" w:cs="Times New Roman CYR"/>
          <w:sz w:val="24"/>
          <w:szCs w:val="24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>реконструкция ЛЭП 04 кВ с. Комсомольское-Гонда ФЦП "Социальное развитие села"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2070C" w:rsidRPr="004A2831" w:rsidRDefault="00B2070C" w:rsidP="004A2831">
      <w:pPr>
        <w:pStyle w:val="ListParagraph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 CYR" w:hAnsi="Times New Roman CYR" w:cs="Times New Roman CYR"/>
          <w:sz w:val="24"/>
          <w:szCs w:val="24"/>
        </w:rPr>
      </w:pPr>
      <w:r w:rsidRPr="004A2831">
        <w:rPr>
          <w:rFonts w:ascii="Times New Roman CYR" w:hAnsi="Times New Roman CYR" w:cs="Times New Roman CYR"/>
          <w:sz w:val="24"/>
          <w:szCs w:val="24"/>
        </w:rPr>
        <w:t>реконструкция ЛЭП 04 кВ с. Комсомольское ФЦП "Социальное развитие села"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Резервное электроснабжение потребителей первой категории производится от независимых источников питания, располагаемых вблизи потребителей.</w:t>
      </w: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B2070C" w:rsidRPr="00334FA0" w:rsidRDefault="00B2070C" w:rsidP="00922A75">
      <w:pPr>
        <w:numPr>
          <w:ilvl w:val="1"/>
          <w:numId w:val="11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Транспортная инфраструктура</w:t>
      </w:r>
    </w:p>
    <w:p w:rsidR="00B2070C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По территории МО СП «</w:t>
      </w:r>
      <w:r>
        <w:rPr>
          <w:rFonts w:ascii="Times New Roman CYR" w:hAnsi="Times New Roman CYR" w:cs="Times New Roman CYR"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</w:rPr>
        <w:t>» проходит участок дороги регионального значения Улан-Удэ – Романовка - Чита.</w:t>
      </w:r>
    </w:p>
    <w:p w:rsidR="00B2070C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Уличная сеть, имеющая покрытие улучшенное (пескогравий) требует окультуривания (грейдерование, подсыпка пескогравием, поднятие полотна, создание кюветов для стока вод).</w:t>
      </w:r>
    </w:p>
    <w:p w:rsidR="00B2070C" w:rsidRPr="00416BAB" w:rsidRDefault="00B2070C" w:rsidP="004A2831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416BAB">
        <w:rPr>
          <w:rFonts w:ascii="Times New Roman CYR" w:hAnsi="Times New Roman CYR" w:cs="Times New Roman CYR"/>
          <w:sz w:val="24"/>
          <w:szCs w:val="24"/>
        </w:rPr>
        <w:t>Открытие АЗС в с. Комсомольское</w:t>
      </w:r>
    </w:p>
    <w:p w:rsidR="00B2070C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B2070C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B2070C" w:rsidRPr="00334FA0" w:rsidRDefault="00B2070C" w:rsidP="00922A7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B2070C" w:rsidRPr="00334FA0" w:rsidRDefault="00B2070C" w:rsidP="00922A75">
      <w:pPr>
        <w:numPr>
          <w:ilvl w:val="1"/>
          <w:numId w:val="11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Состав и границы зон с особыми условиями использования территории</w:t>
      </w:r>
    </w:p>
    <w:p w:rsidR="00B2070C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В состав зон с особыми условиями использования территории МО СП «</w:t>
      </w:r>
      <w:r>
        <w:rPr>
          <w:rFonts w:ascii="Times New Roman CYR" w:hAnsi="Times New Roman CYR" w:cs="Times New Roman CYR"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</w:rPr>
        <w:t>» входят: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Буферная зона Байкальской природной территории </w:t>
      </w:r>
      <w:r w:rsidRPr="00334FA0">
        <w:rPr>
          <w:rFonts w:ascii="Times New Roman CYR" w:hAnsi="Times New Roman CYR" w:cs="Times New Roman CYR"/>
          <w:sz w:val="24"/>
          <w:szCs w:val="24"/>
        </w:rPr>
        <w:t>– в ней расположена вся территория поселения.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Водоохранные зоны водоёмов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 – водоохранные зоны рек и озёр (ширина водоохранной зоны установлена 65 Водного Кодекса РФ):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Ширина водоохранных зон рек, установленных в соответствии с «Водным кодексом РФ»: минимальные размеры водоохранных зон для:</w:t>
      </w:r>
    </w:p>
    <w:p w:rsidR="00B2070C" w:rsidRPr="00334FA0" w:rsidRDefault="00B2070C" w:rsidP="00CC3648">
      <w:pPr>
        <w:numPr>
          <w:ilvl w:val="0"/>
          <w:numId w:val="3"/>
        </w:numPr>
        <w:tabs>
          <w:tab w:val="num" w:pos="994"/>
          <w:tab w:val="left" w:pos="5481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рек и ручьев длиной менее 10 км составляют 50 м;</w:t>
      </w:r>
    </w:p>
    <w:p w:rsidR="00B2070C" w:rsidRPr="00334FA0" w:rsidRDefault="00B2070C" w:rsidP="00CC3648">
      <w:pPr>
        <w:numPr>
          <w:ilvl w:val="0"/>
          <w:numId w:val="3"/>
        </w:numPr>
        <w:tabs>
          <w:tab w:val="num" w:pos="994"/>
          <w:tab w:val="left" w:pos="5481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четко выраженных истоков рек – радиусом 50м.</w:t>
      </w:r>
    </w:p>
    <w:p w:rsidR="00B2070C" w:rsidRPr="00334FA0" w:rsidRDefault="00B2070C" w:rsidP="00CC3648">
      <w:pPr>
        <w:numPr>
          <w:ilvl w:val="0"/>
          <w:numId w:val="3"/>
        </w:numPr>
        <w:tabs>
          <w:tab w:val="num" w:pos="994"/>
          <w:tab w:val="left" w:pos="5481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рек и ручьев длиной от 10 до 50 км – 100м.</w:t>
      </w:r>
    </w:p>
    <w:p w:rsidR="00B2070C" w:rsidRPr="00334FA0" w:rsidRDefault="00B2070C" w:rsidP="00CC3648">
      <w:pPr>
        <w:numPr>
          <w:ilvl w:val="0"/>
          <w:numId w:val="3"/>
        </w:numPr>
        <w:tabs>
          <w:tab w:val="num" w:pos="994"/>
          <w:tab w:val="left" w:pos="5481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рек и ручьев длиной от 50 км и более  – 200м.</w:t>
      </w:r>
    </w:p>
    <w:p w:rsidR="00B2070C" w:rsidRPr="00334FA0" w:rsidRDefault="00B2070C" w:rsidP="00CC3648">
      <w:pPr>
        <w:numPr>
          <w:ilvl w:val="0"/>
          <w:numId w:val="3"/>
        </w:numPr>
        <w:tabs>
          <w:tab w:val="num" w:pos="994"/>
          <w:tab w:val="left" w:pos="5481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радиус водоохранной зоны истоков рек устанавливается– 50 м.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Санитарно-защитные зоны промышленных предприятий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 - в зависимости от класса опасности рассчитывается размер санитарно-защитной зоны. Размеры санитарно-защитных зон не всегда соответствуют установленным нормам, а в отдельных случаях и вообще отсутствуют. 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Охранные зоны объектов культурного наследия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Необходимо предусмотреть мероприятия по разработке и утверждению проектов зон охраны объектов культурного наследия, расположенных на территории поселения, на основании ст.34 Федерального закона «Об объектах культурного наследия (памятниках истории и культуры) народов Российской Федерации» от 25.06.2002 года № 73 ФЗ.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Охранные зоны высоковольтных линий электропередач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от линий 110 кВ – 20 м по обе стороны линии на расстоянии от крайних проводов по горизонтали, от 220 кВ – 25 м, от 35 кВ – 15 м, от 10 кВ – 10 м.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Защитные леса.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 Все леса, находящиеся на территории поселения относятся к защитным, категория лесов – зеленые зоны, лесопарки, нерестоохранные зоны лесов.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Зоны санитарной охраны источников питьевого водоснабжения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Первый пояс строгого режима охватывает место забора подземных вод и головные водопроводные сооружения:  скважины с насосными станциями, резервуары чистой воды, насосная станция второго подъема и контррезервуары. Граница первого пояса скважин проходит на расстоянии 50 м от крайних скважин и 30 м от других сооружений. Территория первого пояса строгого режима ограждается глухим забором высотой 2,5м и колючей проволокой на расстоянии 5м вдоль внутренней стороны ограждения площадки на высоту 1,2м  и окружается двумя рядами зеленых насаждений. В зоне внутреннего и внешнего ограждения устраивается тропа шириной 1м на расстоянии 1м от внутреннего ограждения. Устраивается наружное освещение и организуется сторожевая охрана. Для оповещения персонала предусматривается радиотрансляционная сеть. Подъездные пути к сооружениям засыпаются песком и щебнем.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На территории 1-го пояса строго воспрещается: проживание людей, посадка высокоствольных деревьев, содержание скота, доступ посторонних лиц, применение ядохимикатов и удобрений, проведение строительных работ без согласования с органами государственного санитарного надзора.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Второй и третий пояса – пояса ограничений.  На территории этих поясов охраняются от загрязнения источники питания  подземных вод и эксплуатационные сооружения водозабора. 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При комплексной оценке территории по природным, техногенным и планировочным факторам были выявлены следующие сложившиеся ограничения, учитываемые в проекте генерального плана:</w:t>
      </w:r>
    </w:p>
    <w:p w:rsidR="00B2070C" w:rsidRPr="00334FA0" w:rsidRDefault="00B2070C" w:rsidP="00A9367C">
      <w:pPr>
        <w:pStyle w:val="ListParagraph"/>
        <w:numPr>
          <w:ilvl w:val="0"/>
          <w:numId w:val="8"/>
        </w:numPr>
        <w:tabs>
          <w:tab w:val="left" w:pos="5481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прибрежные защитные полосы рек – 20-30 м;</w:t>
      </w:r>
    </w:p>
    <w:p w:rsidR="00B2070C" w:rsidRPr="00334FA0" w:rsidRDefault="00B2070C" w:rsidP="00A9367C">
      <w:pPr>
        <w:pStyle w:val="ListParagraph"/>
        <w:numPr>
          <w:ilvl w:val="0"/>
          <w:numId w:val="8"/>
        </w:numPr>
        <w:tabs>
          <w:tab w:val="left" w:pos="5481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СЗЗ от очистных сооружений – 200 м;</w:t>
      </w:r>
    </w:p>
    <w:p w:rsidR="00B2070C" w:rsidRPr="00334FA0" w:rsidRDefault="00B2070C" w:rsidP="00A9367C">
      <w:pPr>
        <w:pStyle w:val="ListParagraph"/>
        <w:numPr>
          <w:ilvl w:val="0"/>
          <w:numId w:val="8"/>
        </w:numPr>
        <w:tabs>
          <w:tab w:val="left" w:pos="5481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придорожные защитные полосы автодороги регионального значения – 50 м.</w:t>
      </w:r>
    </w:p>
    <w:p w:rsidR="00B2070C" w:rsidRPr="00334FA0" w:rsidRDefault="00B2070C" w:rsidP="00A9367C">
      <w:pPr>
        <w:pStyle w:val="ListParagraph"/>
        <w:numPr>
          <w:ilvl w:val="0"/>
          <w:numId w:val="8"/>
        </w:numPr>
        <w:tabs>
          <w:tab w:val="left" w:pos="5481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СЗЗ от сельских кладбищ – 50 м </w:t>
      </w:r>
    </w:p>
    <w:p w:rsidR="00B2070C" w:rsidRPr="00334FA0" w:rsidRDefault="00B2070C" w:rsidP="00A9367C">
      <w:pPr>
        <w:pStyle w:val="ListParagraph"/>
        <w:numPr>
          <w:ilvl w:val="0"/>
          <w:numId w:val="8"/>
        </w:numPr>
        <w:tabs>
          <w:tab w:val="left" w:pos="5481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СЗЗ от скотомогильника – 1000 м.</w:t>
      </w:r>
    </w:p>
    <w:p w:rsidR="00B2070C" w:rsidRPr="00334FA0" w:rsidRDefault="00B2070C" w:rsidP="00CC3648">
      <w:pPr>
        <w:tabs>
          <w:tab w:val="left" w:pos="5481"/>
        </w:tabs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B2070C" w:rsidRPr="00334FA0" w:rsidRDefault="00B2070C" w:rsidP="00922A75">
      <w:pPr>
        <w:numPr>
          <w:ilvl w:val="1"/>
          <w:numId w:val="13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Перечень и характеристика основных факторов риска возникновения чрезвычайных ситуаций природного и техногенного характера</w:t>
      </w:r>
    </w:p>
    <w:p w:rsidR="00B2070C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МО СП «</w:t>
      </w:r>
      <w:r>
        <w:rPr>
          <w:rFonts w:ascii="Times New Roman CYR" w:hAnsi="Times New Roman CYR" w:cs="Times New Roman CYR"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</w:rPr>
        <w:t>» находится в Республике Бурятия, которая включена в зону светомаскировки (СНиП 2.01.51-90). Территория МО СП «</w:t>
      </w:r>
      <w:r>
        <w:rPr>
          <w:rFonts w:ascii="Times New Roman CYR" w:hAnsi="Times New Roman CYR" w:cs="Times New Roman CYR"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</w:rPr>
        <w:t>» – категорию по ГО не имеет. Категорированных объектов гражданской обороны нет.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Территория МО СП «</w:t>
      </w:r>
      <w:r>
        <w:rPr>
          <w:rFonts w:ascii="Times New Roman CYR" w:hAnsi="Times New Roman CYR" w:cs="Times New Roman CYR"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</w:rPr>
        <w:t>» в военное время (СНиП 2.01.51-90 «Инженерно-технические мероприятия гражданской обороны») не попадает в зоны возможных сильных и слабых разрушений, а также в зоны возможного опасного и сильного радиоактивного заражения (загрязнения) от категорированных городов Республике Бурятия.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На территории МО СП «</w:t>
      </w:r>
      <w:r>
        <w:rPr>
          <w:rFonts w:ascii="Times New Roman CYR" w:hAnsi="Times New Roman CYR" w:cs="Times New Roman CYR"/>
          <w:sz w:val="24"/>
          <w:szCs w:val="24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» химически опасных объектов (ХОО) нет. </w:t>
      </w:r>
    </w:p>
    <w:p w:rsidR="00B2070C" w:rsidRPr="00334FA0" w:rsidRDefault="00B2070C" w:rsidP="00BE5892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Перечень возможных источников природного характера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Геологические условия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. Наиболее опасным ЧС природного характера является землетрясение. Здания и сооружения расположены в зоне повышенной сейсмичности до 8 баллов по шкале Рихтера и в случае сильного землетрясения получат разрушения различной степени от слабых до полных. В населенных пунктах могут возникнуть очаги пожаров, нарушится электроснабжение и связь. 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На территории поселения отмечены ветры с порывами свыше 30 м/с, которые могут нанести поражения различной степени населению летящими предметами, не исключена вероятность возникновения пожаров.</w:t>
      </w:r>
    </w:p>
    <w:p w:rsidR="00B2070C" w:rsidRPr="00334FA0" w:rsidRDefault="00B2070C" w:rsidP="00BE5892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Перечень возможных источников техногенного характера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Основными источниками чрезвычайных ситуаций техногенного характера на территории являются участок автомобильной дорога регионального значения Улан-Удэ – Романовка - Чита, по которым возможно транспортировка опасных грузов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Опасные грузы - это вещества, материалы, изделия, отходы производственной и иной деятельности, которые в силу присущих им свойств при наличии определенных факторов в процессе транспортирования, при производстве погрузочно-разгрузочных работ и хранении могут нанести вред окружающей природной среде, послужить причиной взрыва, пожара или повреждения транспортных средств, устройств, зданий и сооружений, а также гибели, травмирования, отравления, ожогов или заболевания людей, животных и птиц.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Энергетические объекты. </w:t>
      </w:r>
      <w:r w:rsidRPr="00334FA0">
        <w:rPr>
          <w:rFonts w:ascii="Times New Roman CYR" w:hAnsi="Times New Roman CYR" w:cs="Times New Roman CYR"/>
          <w:sz w:val="24"/>
          <w:szCs w:val="24"/>
        </w:rPr>
        <w:t>Аварии на энергетических объектах могут быть связаны с</w:t>
      </w:r>
    </w:p>
    <w:p w:rsidR="00B2070C" w:rsidRPr="00334FA0" w:rsidRDefault="00B2070C" w:rsidP="00BE5892">
      <w:pPr>
        <w:numPr>
          <w:ilvl w:val="0"/>
          <w:numId w:val="12"/>
        </w:numPr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оборудованием, вырабатывающим энергию,</w:t>
      </w:r>
    </w:p>
    <w:p w:rsidR="00B2070C" w:rsidRPr="00334FA0" w:rsidRDefault="00B2070C" w:rsidP="00BE5892">
      <w:pPr>
        <w:numPr>
          <w:ilvl w:val="0"/>
          <w:numId w:val="12"/>
        </w:numPr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устройством преобразования энергии,</w:t>
      </w:r>
    </w:p>
    <w:p w:rsidR="00B2070C" w:rsidRPr="00334FA0" w:rsidRDefault="00B2070C" w:rsidP="00BE5892">
      <w:pPr>
        <w:numPr>
          <w:ilvl w:val="0"/>
          <w:numId w:val="12"/>
        </w:numPr>
        <w:spacing w:after="0" w:line="360" w:lineRule="auto"/>
        <w:ind w:left="714" w:hanging="283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 xml:space="preserve">системой передачи и распределения энергии от источников потребления. </w:t>
      </w:r>
    </w:p>
    <w:p w:rsidR="00B2070C" w:rsidRPr="00334FA0" w:rsidRDefault="00B2070C" w:rsidP="00BE5892">
      <w:pPr>
        <w:spacing w:after="0" w:line="360" w:lineRule="auto"/>
        <w:ind w:left="714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en-US"/>
        </w:rPr>
        <w:t>Лесные пожары</w:t>
      </w:r>
    </w:p>
    <w:p w:rsidR="00B2070C" w:rsidRPr="00334FA0" w:rsidRDefault="00B2070C" w:rsidP="00BE5892">
      <w:pPr>
        <w:spacing w:after="0" w:line="36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Основную опасность, особенно в связи с изменением климатических условий, обусловленных уменьшением количества осадков, будут представлять лесные пожары. Пожарная опасность по условиям погоды может достигать максимального 5-го класса, характеризующегося невозможностью непосредственного тушения.</w:t>
      </w:r>
    </w:p>
    <w:p w:rsidR="00B2070C" w:rsidRPr="00334FA0" w:rsidRDefault="00B2070C" w:rsidP="00BE5892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Перечень возможных источников биолого-социального характера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На территории поселения имеются кладбище, скотомогильник, </w:t>
      </w:r>
      <w:r>
        <w:rPr>
          <w:rFonts w:ascii="Times New Roman CYR" w:hAnsi="Times New Roman CYR" w:cs="Times New Roman CYR"/>
          <w:sz w:val="24"/>
          <w:szCs w:val="24"/>
        </w:rPr>
        <w:t xml:space="preserve">2 </w:t>
      </w:r>
      <w:r w:rsidRPr="00334FA0">
        <w:rPr>
          <w:rFonts w:ascii="Times New Roman CYR" w:hAnsi="Times New Roman CYR" w:cs="Times New Roman CYR"/>
          <w:sz w:val="24"/>
          <w:szCs w:val="24"/>
        </w:rPr>
        <w:t>свалк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 твердых бытовых отходов. Для обеспечения экологической безопасности требуется </w:t>
      </w:r>
    </w:p>
    <w:p w:rsidR="00B2070C" w:rsidRPr="00334FA0" w:rsidRDefault="00B2070C" w:rsidP="00BE5892">
      <w:pPr>
        <w:numPr>
          <w:ilvl w:val="0"/>
          <w:numId w:val="4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проведение постоянного мониторинга природных процессов, обеспечение радиационной безопасности; </w:t>
      </w:r>
    </w:p>
    <w:p w:rsidR="00B2070C" w:rsidRPr="00334FA0" w:rsidRDefault="00B2070C" w:rsidP="00BE5892">
      <w:pPr>
        <w:numPr>
          <w:ilvl w:val="0"/>
          <w:numId w:val="4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обеспечение безопасности населения от влияния физических факторов; </w:t>
      </w:r>
    </w:p>
    <w:p w:rsidR="00B2070C" w:rsidRPr="00334FA0" w:rsidRDefault="00B2070C" w:rsidP="00BE5892">
      <w:pPr>
        <w:numPr>
          <w:ilvl w:val="0"/>
          <w:numId w:val="4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своевременное проведение противоклещевой обработки лесных массивов, посещаемых людьми;</w:t>
      </w:r>
    </w:p>
    <w:p w:rsidR="00B2070C" w:rsidRPr="00334FA0" w:rsidRDefault="00B2070C" w:rsidP="00BE5892">
      <w:pPr>
        <w:numPr>
          <w:ilvl w:val="0"/>
          <w:numId w:val="4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создание базы данных предприятий, являющихся источниками физических факторов неионизирующей природы (шум, вибрация, электромагнитные поля и т.д.) и находящихся на территории населённых мест; </w:t>
      </w:r>
    </w:p>
    <w:p w:rsidR="00B2070C" w:rsidRPr="00334FA0" w:rsidRDefault="00B2070C" w:rsidP="00BE5892">
      <w:pPr>
        <w:numPr>
          <w:ilvl w:val="0"/>
          <w:numId w:val="4"/>
        </w:numPr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осуществление мониторинга за источниками физических факторов неионизирующей природы (шум, вибрация, электромагнитные поля и т.д.) в населённых пунктах района; 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осуществление мероприятий по снижению шума в поселках и сельских населённых пунктах.</w:t>
      </w:r>
    </w:p>
    <w:p w:rsidR="00B2070C" w:rsidRPr="00334FA0" w:rsidRDefault="00B2070C" w:rsidP="00BE5892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Перечень мероприятий по обеспечению пожарной безопасности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Противопожарные мероприятия являются неотъемлемой частью инженерно-технических мероприятий ГО, обеспечивающих устойчивость функционирования в военное время отраслей и объектов народного хозяйства.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Их важность предопределяется большими размерами ущерба, который могут нанести пожары, возникающие как в мирное время, так и в военное время, в очагах массового поражения.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Для предупреждения чрезвычайных обстоятельств, связанных  с пожаром, снижение их тяжести и ликвидации их последствий на последующих стадиях проектирования необходимо предусматривать технические и организационные мероприятия, направленные на снижение вероятности возникновения пожара, защиту от огня, безопасную эвакуацию людей, беспрепятственный ввод  и продвижение пожарных расчетов и пожарной техники.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В целях предотвращения возникновения дополнительных очагов пожара открытые автостоянки следует размещать на расстоянии не менее высоты от ближайшего здания из расчета одна стоянка на группу зданий.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На территории поселения нет существующих АЗС, проектом </w:t>
      </w:r>
      <w:r>
        <w:rPr>
          <w:rFonts w:ascii="Times New Roman CYR" w:hAnsi="Times New Roman CYR" w:cs="Times New Roman CYR"/>
          <w:sz w:val="24"/>
          <w:szCs w:val="24"/>
        </w:rPr>
        <w:t xml:space="preserve">предусматривается 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строительство </w:t>
      </w:r>
      <w:r>
        <w:rPr>
          <w:rFonts w:ascii="Times New Roman CYR" w:hAnsi="Times New Roman CYR" w:cs="Times New Roman CYR"/>
          <w:sz w:val="24"/>
          <w:szCs w:val="24"/>
        </w:rPr>
        <w:t>новой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При пожаре безопасность людей должна обеспечиваться своевременной беспрепятственной эвакуацией людей из опасной зоны, спасением людей, оказавшихся в зоне задымления и повышенной температуры.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С целью предотвращения распространения очагов пожара необходимо обеспечить сигнализацию и оповещение  о возникновении пожара, наличие средств пожаротушения.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В интересах обеспечения наружного пожаротушения на сетях водопровода необходимо предусматривать пожарные гидранты, устанавливаемые в колодцах на сети, с обеспечением подъездов к ним и водопроводным кольцам. Пожарные гидранты, а также устройства для отключения поврежденных участков водопровода следует располагать на не заваливаемой территории. Указатели пожарных гидрантов устанавливаются во всех корпусах.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В соответствии с требованиями МЧС 1.01-99 необходимо предусмотреть на последующих стадиях проектирования следующие  мероприятия:</w:t>
      </w:r>
    </w:p>
    <w:p w:rsidR="00B2070C" w:rsidRPr="00334FA0" w:rsidRDefault="00B2070C" w:rsidP="00BE5892">
      <w:pPr>
        <w:numPr>
          <w:ilvl w:val="0"/>
          <w:numId w:val="30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организация проездов для пожарных машин с двух сторон домов шириной 6.0 м на расстоянии от фасадов 8-10 м с асфальтобетонным покрытием;</w:t>
      </w:r>
    </w:p>
    <w:p w:rsidR="00B2070C" w:rsidRPr="00334FA0" w:rsidRDefault="00B2070C" w:rsidP="00BE5892">
      <w:pPr>
        <w:numPr>
          <w:ilvl w:val="0"/>
          <w:numId w:val="30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устройство сквозных проходов в первых этажах секций жилых домов;</w:t>
      </w:r>
    </w:p>
    <w:p w:rsidR="00B2070C" w:rsidRPr="00334FA0" w:rsidRDefault="00B2070C" w:rsidP="00BE5892">
      <w:pPr>
        <w:numPr>
          <w:ilvl w:val="0"/>
          <w:numId w:val="30"/>
        </w:numPr>
        <w:tabs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устройство гидрантов на трассе основного водопровода, с учетом обеспечения тушения пожара в каждом здании от трех гидрантов удаленных от здания не более 150 м.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Пожаротушение на рассматриваемой территории предусматривается выполнять:</w:t>
      </w:r>
    </w:p>
    <w:p w:rsidR="00B2070C" w:rsidRPr="00334FA0" w:rsidRDefault="00B2070C" w:rsidP="00BE5892">
      <w:pPr>
        <w:spacing w:after="0" w:line="36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- Существующими системами обеспечения пожарной безопасности в населенных пунктах поселения.</w:t>
      </w:r>
    </w:p>
    <w:p w:rsidR="00B2070C" w:rsidRPr="00334FA0" w:rsidRDefault="00B2070C" w:rsidP="00783E37">
      <w:pPr>
        <w:spacing w:after="0" w:line="36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 проекте предусматривается пожаротушение</w:t>
      </w:r>
      <w:r>
        <w:rPr>
          <w:rFonts w:ascii="Times New Roman CYR" w:hAnsi="Times New Roman CYR" w:cs="Times New Roman CYR"/>
          <w:sz w:val="24"/>
          <w:szCs w:val="24"/>
        </w:rPr>
        <w:t xml:space="preserve"> с</w:t>
      </w:r>
      <w:r w:rsidRPr="00334FA0">
        <w:rPr>
          <w:rFonts w:ascii="Times New Roman CYR" w:hAnsi="Times New Roman CYR" w:cs="Times New Roman CYR"/>
          <w:sz w:val="24"/>
          <w:szCs w:val="24"/>
          <w:lang w:eastAsia="ar-SA"/>
        </w:rPr>
        <w:t xml:space="preserve">илами 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>существующего пожарного депо</w:t>
      </w:r>
      <w:r w:rsidRPr="00334FA0">
        <w:rPr>
          <w:rFonts w:ascii="Times New Roman CYR" w:hAnsi="Times New Roman CYR" w:cs="Times New Roman CYR"/>
          <w:sz w:val="24"/>
          <w:szCs w:val="24"/>
          <w:lang w:eastAsia="ar-SA"/>
        </w:rPr>
        <w:t>.</w:t>
      </w:r>
    </w:p>
    <w:p w:rsidR="00B2070C" w:rsidRPr="00334FA0" w:rsidRDefault="00B2070C" w:rsidP="00BE5892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На последующих стадиях проектирования мероприятия по обеспечению пожарной безопасности необходимо согласовывать с отделом пожарной безопасности, к которому относится данная территория.</w:t>
      </w:r>
    </w:p>
    <w:p w:rsidR="00B2070C" w:rsidRPr="00334FA0" w:rsidRDefault="00B2070C" w:rsidP="00922A75">
      <w:pPr>
        <w:spacing w:after="0" w:line="360" w:lineRule="auto"/>
        <w:ind w:left="106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070C" w:rsidRPr="00334FA0" w:rsidRDefault="00B2070C" w:rsidP="00922A75">
      <w:pPr>
        <w:spacing w:after="0" w:line="360" w:lineRule="auto"/>
        <w:ind w:left="106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>2.10. Мероприятия по охране окружающей среды</w:t>
      </w:r>
    </w:p>
    <w:p w:rsidR="00B2070C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en-US"/>
        </w:rPr>
      </w:pP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en-US"/>
        </w:rPr>
        <w:t>Охрана и рациональное использование почвенного слоя.</w:t>
      </w: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Почвенный слой является ценным медленно возобновляющимся природным ресурсом. При ведении строительных работ, прокладке линий коммуникаций, добыче полезных ископаемых и других видах работ, приводящих к нарушению или снижению свойств почвенного слоя, последний подлежит снятию, перемещению в резерв и использованию для рекультивации нарушенных земель или землевания малопродуктивных угодий.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en-US"/>
        </w:rPr>
        <w:t>Охрана атмосферного воздуха.</w:t>
      </w: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На 1 очередь строительства в целом по территории поселения необходимо реализовать следующие мероприятия:</w:t>
      </w:r>
    </w:p>
    <w:p w:rsidR="00B2070C" w:rsidRPr="00334FA0" w:rsidRDefault="00B2070C" w:rsidP="00871300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Оптимизация технологической структуры систем теплоснабжения;</w:t>
      </w:r>
    </w:p>
    <w:p w:rsidR="00B2070C" w:rsidRPr="00334FA0" w:rsidRDefault="00B2070C" w:rsidP="00871300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Децентрализация систем теплоснабжения с низкой плотностью тепловой нагрузки и переход на локальные источники теплоснабжения; совершенствование топливоподготовки и топливоподачи; оснащение котельных приборами учета и автоматики; оптимизация режимов горения топлива; оснащение котельных ГПУ с КПД не менее 82%;</w:t>
      </w:r>
    </w:p>
    <w:p w:rsidR="00B2070C" w:rsidRPr="00334FA0" w:rsidRDefault="00B2070C" w:rsidP="00871300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 xml:space="preserve">Для юридических лиц, имеющих стационарные источники выбросов вредных веществ в атмосферный воздух, необходимо разработать проект предельно допустимых выбросов  и проект организации СЗЗ. 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На перспективу в целом по поселению</w:t>
      </w:r>
      <w:r w:rsidRPr="00334FA0">
        <w:rPr>
          <w:rFonts w:ascii="Times New Roman CYR" w:hAnsi="Times New Roman CYR" w:cs="Times New Roman CYR"/>
          <w:i/>
          <w:iCs/>
          <w:sz w:val="24"/>
          <w:szCs w:val="24"/>
          <w:lang w:eastAsia="en-US"/>
        </w:rPr>
        <w:t xml:space="preserve"> -</w:t>
      </w: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освоение новых технологий, новых типов энергоисточников. К таким технологиям можно отнести:    </w:t>
      </w:r>
    </w:p>
    <w:p w:rsidR="00B2070C" w:rsidRPr="00334FA0" w:rsidRDefault="00B2070C" w:rsidP="00871300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применение гелиоустановок и тепловых насосов;</w:t>
      </w:r>
    </w:p>
    <w:p w:rsidR="00B2070C" w:rsidRPr="00334FA0" w:rsidRDefault="00B2070C" w:rsidP="00871300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 xml:space="preserve">прокладка труб в пенополиуретановой изоляции при ремонте и прокладке новых участков тепловых сетей с использованием технологии монтажа труб с внутренней изоляцией сварного шва стеклоэмалевым покрытием. </w:t>
      </w:r>
    </w:p>
    <w:p w:rsidR="00B2070C" w:rsidRPr="00334FA0" w:rsidRDefault="00B2070C" w:rsidP="00871300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в процессе развития района необходимо предусмотреть реконструкцию котельных и строительство новых, в основном газовых котельных с целью улучшения экологии и повышения экономических показателей.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en-US"/>
        </w:rPr>
        <w:t>Защита от электрических магнитных полей.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В проекте установлены санитарно-защитные зоны от высоковольтных линий электропередач.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en-US"/>
        </w:rPr>
        <w:t>Защита от шума.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Один из основных источников шума – транспорт. Для защиты жилой застройки, расположенной вдоль автодороги, от транспортного шума, проектом предусмотрено создание санитарно-защитной зоны, ее озеленение и благоустройство.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Охрана подземных и поверхностных вод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В целях охраны и рационального использования водных ресурсов проектом предусматривается: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1.  Развитие систем централизованной канализации (подробнее см. раздел «Водоотведение»).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2.  Строительство очистных сооружений. 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3.  Оптимизация системы управления стоками.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4.  Благоустройство и расчистка русел рек и ручьев.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5. Организация и обустройство водоохранных зон и прибрежных защитных полос, в первую очередь в границах населенных пунктов.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6. Стоки животноводческих комплексов должны очищаться на локальных очистных сооружениях (ЛОС) либо до степени, разрешенной к приему в систему канализации, либо полностью до нормативных показателей, разрешенных к сбросу в водные объекты.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b/>
          <w:bCs/>
          <w:i/>
          <w:iCs/>
          <w:sz w:val="24"/>
          <w:szCs w:val="24"/>
          <w:lang w:eastAsia="en-US"/>
        </w:rPr>
        <w:t>Охрана окружающей среды при складировании (утилизации) отходов</w:t>
      </w:r>
    </w:p>
    <w:p w:rsidR="00B2070C" w:rsidRPr="00334FA0" w:rsidRDefault="00B2070C" w:rsidP="00871300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34FA0">
        <w:rPr>
          <w:rFonts w:ascii="Times New Roman CYR" w:hAnsi="Times New Roman CYR" w:cs="Times New Roman CYR"/>
          <w:color w:val="000000"/>
          <w:sz w:val="24"/>
          <w:szCs w:val="24"/>
        </w:rPr>
        <w:t>Основные предложения по совершенствованию состояния санитарной очистки:</w:t>
      </w:r>
    </w:p>
    <w:p w:rsidR="00B2070C" w:rsidRPr="00334FA0" w:rsidRDefault="00B2070C" w:rsidP="00871300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На первую очередь и расчетный срок:</w:t>
      </w:r>
    </w:p>
    <w:p w:rsidR="00B2070C" w:rsidRPr="00334FA0" w:rsidRDefault="00B2070C" w:rsidP="00C90486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>разработать систему обслуживания частного сектора санитарной очисткой и уборкой территории;</w:t>
      </w:r>
    </w:p>
    <w:p w:rsidR="00B2070C" w:rsidRPr="00CF24D6" w:rsidRDefault="00B2070C" w:rsidP="00922A75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426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90486">
        <w:rPr>
          <w:rFonts w:ascii="Times New Roman CYR" w:hAnsi="Times New Roman CYR" w:cs="Times New Roman CYR"/>
          <w:sz w:val="24"/>
          <w:szCs w:val="24"/>
        </w:rPr>
        <w:t>организация сбора, вывоза, переработки и утилизации отходов производства и потребления.</w:t>
      </w:r>
      <w:r w:rsidRPr="00C90486">
        <w:rPr>
          <w:rFonts w:ascii="Times New Roman CYR" w:hAnsi="Times New Roman CYR" w:cs="Times New Roman CYR"/>
          <w:color w:val="FF0000"/>
          <w:sz w:val="24"/>
          <w:szCs w:val="24"/>
        </w:rPr>
        <w:tab/>
      </w:r>
    </w:p>
    <w:p w:rsidR="00B2070C" w:rsidRDefault="00B2070C" w:rsidP="00CF24D6">
      <w:pPr>
        <w:tabs>
          <w:tab w:val="left" w:pos="709"/>
        </w:tabs>
        <w:spacing w:after="0" w:line="36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B2070C" w:rsidRDefault="00B2070C" w:rsidP="00CF24D6">
      <w:pPr>
        <w:tabs>
          <w:tab w:val="left" w:pos="709"/>
        </w:tabs>
        <w:spacing w:after="0" w:line="36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B2070C" w:rsidRDefault="00B2070C" w:rsidP="00CF24D6">
      <w:pPr>
        <w:tabs>
          <w:tab w:val="left" w:pos="709"/>
        </w:tabs>
        <w:spacing w:after="0" w:line="36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B2070C" w:rsidRDefault="00B2070C" w:rsidP="00CF24D6">
      <w:pPr>
        <w:tabs>
          <w:tab w:val="left" w:pos="709"/>
        </w:tabs>
        <w:spacing w:after="0" w:line="36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B2070C" w:rsidRPr="00C90486" w:rsidRDefault="00B2070C" w:rsidP="00CF24D6">
      <w:pPr>
        <w:tabs>
          <w:tab w:val="left" w:pos="709"/>
        </w:tabs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070C" w:rsidRPr="00334FA0" w:rsidRDefault="00B2070C" w:rsidP="00922A75">
      <w:pPr>
        <w:tabs>
          <w:tab w:val="left" w:pos="5481"/>
        </w:tabs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 xml:space="preserve">2.11. Мероприятия по охране объектов культурного наследия </w:t>
      </w:r>
    </w:p>
    <w:p w:rsidR="00B2070C" w:rsidRDefault="00B2070C" w:rsidP="00D632A4">
      <w:pPr>
        <w:tabs>
          <w:tab w:val="left" w:pos="5481"/>
        </w:tabs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2070C" w:rsidRPr="00334FA0" w:rsidRDefault="00B2070C" w:rsidP="00D632A4">
      <w:pPr>
        <w:tabs>
          <w:tab w:val="left" w:pos="5481"/>
        </w:tabs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Таблица </w:t>
      </w:r>
      <w:r>
        <w:rPr>
          <w:rFonts w:ascii="Times New Roman CYR" w:hAnsi="Times New Roman CYR" w:cs="Times New Roman CYR"/>
          <w:sz w:val="24"/>
          <w:szCs w:val="24"/>
        </w:rPr>
        <w:t>4</w:t>
      </w:r>
      <w:r w:rsidRPr="00334FA0">
        <w:rPr>
          <w:rFonts w:ascii="Times New Roman CYR" w:hAnsi="Times New Roman CYR" w:cs="Times New Roman CYR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835"/>
        <w:gridCol w:w="6440"/>
      </w:tblGrid>
      <w:tr w:rsidR="00B2070C" w:rsidRPr="00760BDE">
        <w:trPr>
          <w:jc w:val="center"/>
        </w:trPr>
        <w:tc>
          <w:tcPr>
            <w:tcW w:w="817" w:type="dxa"/>
          </w:tcPr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Раздел мероприятий</w:t>
            </w:r>
          </w:p>
        </w:tc>
        <w:tc>
          <w:tcPr>
            <w:tcW w:w="6440" w:type="dxa"/>
          </w:tcPr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Состав мероприятий</w:t>
            </w:r>
          </w:p>
        </w:tc>
      </w:tr>
      <w:tr w:rsidR="00B2070C" w:rsidRPr="00760BDE">
        <w:trPr>
          <w:jc w:val="center"/>
        </w:trPr>
        <w:tc>
          <w:tcPr>
            <w:tcW w:w="817" w:type="dxa"/>
          </w:tcPr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охрана объектов культурного наследия</w:t>
            </w:r>
          </w:p>
        </w:tc>
        <w:tc>
          <w:tcPr>
            <w:tcW w:w="6440" w:type="dxa"/>
          </w:tcPr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- историко-культурная оценка территории;</w:t>
            </w:r>
          </w:p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- археологического оценка территории;</w:t>
            </w:r>
          </w:p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- выявление объектов культурного наследия (историко-культурная экспертиза)</w:t>
            </w:r>
          </w:p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- паспортизация объектов культурного наследия;</w:t>
            </w:r>
          </w:p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- проектирование и отвод охранных зон, установление режимов и регламентов их содержания</w:t>
            </w:r>
          </w:p>
        </w:tc>
      </w:tr>
      <w:tr w:rsidR="00B2070C" w:rsidRPr="00760BDE">
        <w:trPr>
          <w:jc w:val="center"/>
        </w:trPr>
        <w:tc>
          <w:tcPr>
            <w:tcW w:w="817" w:type="dxa"/>
          </w:tcPr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6440" w:type="dxa"/>
          </w:tcPr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- разработка муниципальных целевых программ по сохранению (реставрации) объектов культурного наследия</w:t>
            </w:r>
          </w:p>
          <w:p w:rsidR="00B2070C" w:rsidRPr="00334FA0" w:rsidRDefault="00B2070C" w:rsidP="006A3F4F">
            <w:pPr>
              <w:tabs>
                <w:tab w:val="left" w:pos="5481"/>
              </w:tabs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4FA0">
              <w:rPr>
                <w:rFonts w:ascii="Times New Roman CYR" w:hAnsi="Times New Roman CYR" w:cs="Times New Roman CYR"/>
                <w:sz w:val="24"/>
                <w:szCs w:val="24"/>
              </w:rPr>
              <w:t>- формирование историко-культурных заповедников</w:t>
            </w:r>
          </w:p>
        </w:tc>
      </w:tr>
    </w:tbl>
    <w:p w:rsidR="00B2070C" w:rsidRDefault="00B2070C" w:rsidP="00922A75">
      <w:pPr>
        <w:tabs>
          <w:tab w:val="left" w:pos="5481"/>
        </w:tabs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2070C" w:rsidRPr="00334FA0" w:rsidRDefault="00B2070C" w:rsidP="00922A75">
      <w:pPr>
        <w:tabs>
          <w:tab w:val="left" w:pos="5481"/>
        </w:tabs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2070C" w:rsidRPr="00334FA0" w:rsidRDefault="00B2070C" w:rsidP="00922A75">
      <w:pPr>
        <w:numPr>
          <w:ilvl w:val="0"/>
          <w:numId w:val="1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ОБЪЕКТОВ КАПИТАЛЬНОГО СТРОИТЕЛЬСТВА МЕСТНОГО ЗНАЧЕНИЯ </w:t>
      </w:r>
    </w:p>
    <w:p w:rsidR="00B2070C" w:rsidRPr="00334FA0" w:rsidRDefault="00B2070C" w:rsidP="00D65F83">
      <w:pPr>
        <w:spacing w:after="0" w:line="360" w:lineRule="auto"/>
        <w:ind w:left="1069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070C" w:rsidRPr="00334FA0" w:rsidRDefault="00B2070C" w:rsidP="00D65F83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Генеральным планом на территории МО «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Комсомольское</w:t>
      </w:r>
      <w:r w:rsidRPr="00334FA0">
        <w:rPr>
          <w:rFonts w:ascii="Times New Roman CYR" w:hAnsi="Times New Roman CYR" w:cs="Times New Roman CYR"/>
          <w:sz w:val="24"/>
          <w:szCs w:val="24"/>
          <w:lang w:eastAsia="en-US"/>
        </w:rPr>
        <w:t>» предусмотрено строительство следующих объектов и проведение мероприятий:</w:t>
      </w:r>
    </w:p>
    <w:p w:rsidR="00B2070C" w:rsidRPr="00334FA0" w:rsidRDefault="00B2070C" w:rsidP="00334FA0">
      <w:pPr>
        <w:spacing w:after="0" w:line="360" w:lineRule="auto"/>
        <w:ind w:right="-1" w:firstLine="709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4FA0">
        <w:rPr>
          <w:rFonts w:ascii="Times New Roman CYR" w:hAnsi="Times New Roman CYR" w:cs="Times New Roman CYR"/>
          <w:sz w:val="24"/>
          <w:szCs w:val="24"/>
        </w:rPr>
        <w:t xml:space="preserve">Таблица </w:t>
      </w:r>
      <w:r>
        <w:rPr>
          <w:rFonts w:ascii="Times New Roman CYR" w:hAnsi="Times New Roman CYR" w:cs="Times New Roman CYR"/>
          <w:sz w:val="24"/>
          <w:szCs w:val="24"/>
        </w:rPr>
        <w:t>5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39"/>
      </w:tblGrid>
      <w:tr w:rsidR="00B2070C" w:rsidRPr="00760BDE">
        <w:tc>
          <w:tcPr>
            <w:tcW w:w="9639" w:type="dxa"/>
          </w:tcPr>
          <w:p w:rsidR="00B2070C" w:rsidRPr="00416BAB" w:rsidRDefault="00B2070C" w:rsidP="00D50090">
            <w:pPr>
              <w:spacing w:after="0"/>
              <w:ind w:left="4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Жилищное строительство</w:t>
            </w:r>
          </w:p>
        </w:tc>
      </w:tr>
      <w:tr w:rsidR="00B2070C" w:rsidRPr="00760BDE">
        <w:tc>
          <w:tcPr>
            <w:tcW w:w="9639" w:type="dxa"/>
          </w:tcPr>
          <w:p w:rsidR="00B2070C" w:rsidRPr="00416BAB" w:rsidRDefault="00B2070C" w:rsidP="00D50090">
            <w:pPr>
              <w:tabs>
                <w:tab w:val="center" w:pos="4520"/>
              </w:tabs>
              <w:spacing w:after="0"/>
              <w:ind w:left="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жилых домов</w:t>
            </w: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</w:tr>
      <w:tr w:rsidR="00B2070C" w:rsidRPr="00760BDE">
        <w:tc>
          <w:tcPr>
            <w:tcW w:w="9639" w:type="dxa"/>
          </w:tcPr>
          <w:p w:rsidR="00B2070C" w:rsidRPr="00416BAB" w:rsidRDefault="00B2070C" w:rsidP="00D50090">
            <w:pPr>
              <w:spacing w:after="0"/>
              <w:ind w:left="4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Культура и спорт</w:t>
            </w:r>
          </w:p>
        </w:tc>
      </w:tr>
      <w:tr w:rsidR="00B2070C" w:rsidRPr="00760BDE">
        <w:tc>
          <w:tcPr>
            <w:tcW w:w="9639" w:type="dxa"/>
          </w:tcPr>
          <w:p w:rsidR="00B2070C" w:rsidRPr="00416BAB" w:rsidRDefault="00B2070C" w:rsidP="00D50090">
            <w:pPr>
              <w:spacing w:after="0"/>
              <w:ind w:left="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СДК (замена кровли, полов, ремонт отопительной системы)</w:t>
            </w:r>
          </w:p>
        </w:tc>
      </w:tr>
      <w:tr w:rsidR="00B2070C" w:rsidRPr="00760BDE">
        <w:tc>
          <w:tcPr>
            <w:tcW w:w="9639" w:type="dxa"/>
          </w:tcPr>
          <w:p w:rsidR="00B2070C" w:rsidRPr="00416BAB" w:rsidRDefault="00B2070C" w:rsidP="00D50090">
            <w:pPr>
              <w:spacing w:after="0"/>
              <w:ind w:left="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Строительство спортивной площадки </w:t>
            </w:r>
          </w:p>
        </w:tc>
      </w:tr>
      <w:tr w:rsidR="00B2070C" w:rsidRPr="00760BDE">
        <w:tc>
          <w:tcPr>
            <w:tcW w:w="9639" w:type="dxa"/>
          </w:tcPr>
          <w:p w:rsidR="00B2070C" w:rsidRPr="00416BAB" w:rsidRDefault="00B2070C" w:rsidP="00D50090">
            <w:pPr>
              <w:spacing w:after="0"/>
              <w:ind w:left="4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Торговля, общественное питание  и бытовое обслуживание</w:t>
            </w:r>
          </w:p>
        </w:tc>
      </w:tr>
      <w:tr w:rsidR="00B2070C" w:rsidRPr="00760BDE">
        <w:tc>
          <w:tcPr>
            <w:tcW w:w="9639" w:type="dxa"/>
          </w:tcPr>
          <w:p w:rsidR="00B2070C" w:rsidRPr="00416BAB" w:rsidRDefault="00B2070C" w:rsidP="00D50090">
            <w:pPr>
              <w:spacing w:after="0"/>
              <w:ind w:left="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Строительство </w:t>
            </w: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 xml:space="preserve">пункта бытового обслуживания </w:t>
            </w: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>на 2-3 рабочих места</w:t>
            </w:r>
          </w:p>
        </w:tc>
      </w:tr>
      <w:tr w:rsidR="00B2070C" w:rsidRPr="00760BDE">
        <w:tc>
          <w:tcPr>
            <w:tcW w:w="9639" w:type="dxa"/>
          </w:tcPr>
          <w:p w:rsidR="00B2070C" w:rsidRPr="00416BAB" w:rsidRDefault="00B2070C" w:rsidP="00D50090">
            <w:pPr>
              <w:spacing w:after="0"/>
              <w:ind w:left="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</w:t>
            </w: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магазина смешанной торговли</w:t>
            </w: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70 м</w:t>
            </w:r>
            <w:r w:rsidRPr="00416BAB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торговой площади</w:t>
            </w:r>
          </w:p>
        </w:tc>
      </w:tr>
      <w:tr w:rsidR="00B2070C" w:rsidRPr="00760BDE">
        <w:tc>
          <w:tcPr>
            <w:tcW w:w="9639" w:type="dxa"/>
          </w:tcPr>
          <w:p w:rsidR="00B2070C" w:rsidRPr="00416BAB" w:rsidRDefault="00B2070C" w:rsidP="00D50090">
            <w:pPr>
              <w:spacing w:after="0"/>
              <w:ind w:left="42"/>
              <w:jc w:val="center"/>
              <w:rPr>
                <w:rFonts w:ascii="Times New Roman CYR" w:hAnsi="Times New Roman CYR" w:cs="Times New Roman CYR"/>
                <w:b/>
                <w:bCs/>
                <w:noProof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b/>
                <w:bCs/>
                <w:noProof/>
                <w:sz w:val="24"/>
                <w:szCs w:val="24"/>
              </w:rPr>
              <w:t>Туризм и придорожный сервис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416BAB" w:rsidRDefault="00B2070C" w:rsidP="00D50090">
            <w:pPr>
              <w:spacing w:after="0"/>
              <w:ind w:left="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Открытие автозаправочной станции 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416BAB" w:rsidRDefault="00B2070C" w:rsidP="00D50090">
            <w:pPr>
              <w:spacing w:after="0"/>
              <w:ind w:left="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и создание мест отдыха на источнике Погромкинский, на озере Долгое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416BAB" w:rsidRDefault="00B2070C" w:rsidP="00D50090">
            <w:pPr>
              <w:spacing w:after="0"/>
              <w:ind w:left="42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16BA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Развитие малого предпринимательства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416BAB" w:rsidRDefault="00B2070C" w:rsidP="00D50090">
            <w:pPr>
              <w:spacing w:after="0"/>
              <w:ind w:left="42" w:firstLine="3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Площадка под малое предпринимательство </w:t>
            </w: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>(Строительство лесоперерабатывающего производства)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416BAB" w:rsidRDefault="00B2070C" w:rsidP="00D50090">
            <w:pPr>
              <w:spacing w:after="0"/>
              <w:ind w:left="42" w:firstLine="3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Сельскохозяйственное предприятие </w:t>
            </w:r>
            <w:r w:rsidRPr="00416BAB">
              <w:rPr>
                <w:rFonts w:ascii="Times New Roman CYR" w:hAnsi="Times New Roman CYR" w:cs="Times New Roman CYR"/>
                <w:sz w:val="24"/>
                <w:szCs w:val="24"/>
              </w:rPr>
              <w:t>(Создание предприятия по выращиванию, хранению и переработке овощной продукции; Создание производств по сбору дикоросов)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760BDE" w:rsidRDefault="00B2070C" w:rsidP="00D50090">
            <w:pPr>
              <w:spacing w:after="0"/>
              <w:ind w:left="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Развитие базовой инфраструктуры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760BDE" w:rsidRDefault="00B2070C" w:rsidP="00D50090">
            <w:pPr>
              <w:spacing w:after="0"/>
              <w:ind w:left="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очистных сооружений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760BDE" w:rsidRDefault="00B2070C" w:rsidP="00D50090">
            <w:pPr>
              <w:spacing w:after="0"/>
              <w:ind w:left="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водозаборных сооружений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760BDE" w:rsidRDefault="00B2070C" w:rsidP="00D50090">
            <w:pPr>
              <w:spacing w:after="0"/>
              <w:ind w:left="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сетей водо-, теплоснабжения и канализации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760BDE" w:rsidRDefault="00B2070C" w:rsidP="00D50090">
            <w:pPr>
              <w:spacing w:after="0"/>
              <w:ind w:left="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трансформаторных подстанций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760BDE" w:rsidRDefault="00B2070C" w:rsidP="00D50090">
            <w:pPr>
              <w:spacing w:after="0"/>
              <w:ind w:left="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и реконструкция линий электропередач 0,4 кВ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760BDE" w:rsidRDefault="00B2070C" w:rsidP="00D50090">
            <w:pPr>
              <w:spacing w:after="0"/>
              <w:ind w:left="4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Охрана окружающей среды</w:t>
            </w:r>
          </w:p>
        </w:tc>
      </w:tr>
      <w:tr w:rsidR="00B2070C" w:rsidRPr="00760BDE">
        <w:tc>
          <w:tcPr>
            <w:tcW w:w="9639" w:type="dxa"/>
            <w:vAlign w:val="center"/>
          </w:tcPr>
          <w:p w:rsidR="00B2070C" w:rsidRPr="00760BDE" w:rsidRDefault="00B2070C" w:rsidP="00D50090">
            <w:pPr>
              <w:spacing w:after="0"/>
              <w:ind w:left="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0BDE">
              <w:rPr>
                <w:rFonts w:ascii="Times New Roman CYR" w:hAnsi="Times New Roman CYR" w:cs="Times New Roman CYR"/>
                <w:sz w:val="24"/>
                <w:szCs w:val="24"/>
              </w:rPr>
              <w:t xml:space="preserve">Благоустройство и огораживание полигонов ТБО  </w:t>
            </w:r>
          </w:p>
        </w:tc>
      </w:tr>
    </w:tbl>
    <w:p w:rsidR="00B2070C" w:rsidRPr="00334FA0" w:rsidRDefault="00B2070C" w:rsidP="00C90486">
      <w:pPr>
        <w:spacing w:after="0" w:line="360" w:lineRule="auto"/>
        <w:ind w:left="1069"/>
        <w:rPr>
          <w:rFonts w:ascii="Times New Roman CYR" w:hAnsi="Times New Roman CYR" w:cs="Times New Roman CYR"/>
          <w:b/>
          <w:bCs/>
          <w:sz w:val="24"/>
          <w:szCs w:val="24"/>
        </w:rPr>
      </w:pPr>
    </w:p>
    <w:sectPr w:rsidR="00B2070C" w:rsidRPr="00334FA0" w:rsidSect="00080992">
      <w:footerReference w:type="default" r:id="rId8"/>
      <w:pgSz w:w="11906" w:h="16838"/>
      <w:pgMar w:top="1134" w:right="567" w:bottom="1134" w:left="1134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0C" w:rsidRDefault="00B2070C" w:rsidP="00080992">
      <w:pPr>
        <w:spacing w:after="0" w:line="240" w:lineRule="auto"/>
      </w:pPr>
      <w:r>
        <w:separator/>
      </w:r>
    </w:p>
  </w:endnote>
  <w:endnote w:type="continuationSeparator" w:id="1">
    <w:p w:rsidR="00B2070C" w:rsidRDefault="00B2070C" w:rsidP="0008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0C" w:rsidRDefault="00B2070C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B2070C" w:rsidRDefault="00B207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0C" w:rsidRDefault="00B2070C" w:rsidP="00080992">
      <w:pPr>
        <w:spacing w:after="0" w:line="240" w:lineRule="auto"/>
      </w:pPr>
      <w:r>
        <w:separator/>
      </w:r>
    </w:p>
  </w:footnote>
  <w:footnote w:type="continuationSeparator" w:id="1">
    <w:p w:rsidR="00B2070C" w:rsidRDefault="00B2070C" w:rsidP="0008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2805"/>
        </w:tabs>
        <w:ind w:left="2805" w:hanging="1005"/>
      </w:pPr>
      <w:rPr>
        <w:rFonts w:ascii="Times New Roman" w:hAnsi="Times New Roman"/>
      </w:rPr>
    </w:lvl>
  </w:abstractNum>
  <w:abstractNum w:abstractNumId="1">
    <w:nsid w:val="03463D42"/>
    <w:multiLevelType w:val="hybridMultilevel"/>
    <w:tmpl w:val="B60C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9163A8"/>
    <w:multiLevelType w:val="hybridMultilevel"/>
    <w:tmpl w:val="F592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FA334B"/>
    <w:multiLevelType w:val="hybridMultilevel"/>
    <w:tmpl w:val="EA12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2E68"/>
    <w:multiLevelType w:val="hybridMultilevel"/>
    <w:tmpl w:val="EA12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32D20"/>
    <w:multiLevelType w:val="hybridMultilevel"/>
    <w:tmpl w:val="9D14ABD2"/>
    <w:lvl w:ilvl="0" w:tplc="4B847AD4">
      <w:start w:val="8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6334D28"/>
    <w:multiLevelType w:val="hybridMultilevel"/>
    <w:tmpl w:val="8B6ADE0E"/>
    <w:lvl w:ilvl="0" w:tplc="4B847AD4">
      <w:start w:val="8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ABE2F5B"/>
    <w:multiLevelType w:val="hybridMultilevel"/>
    <w:tmpl w:val="E0FA9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456D22"/>
    <w:multiLevelType w:val="hybridMultilevel"/>
    <w:tmpl w:val="DF94C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D45A78"/>
    <w:multiLevelType w:val="multilevel"/>
    <w:tmpl w:val="610EB6E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0936BB8"/>
    <w:multiLevelType w:val="multilevel"/>
    <w:tmpl w:val="007603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0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214D3CA0"/>
    <w:multiLevelType w:val="hybridMultilevel"/>
    <w:tmpl w:val="F1422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266F1C"/>
    <w:multiLevelType w:val="hybridMultilevel"/>
    <w:tmpl w:val="A80C60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2C8E7583"/>
    <w:multiLevelType w:val="hybridMultilevel"/>
    <w:tmpl w:val="0A7C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0AA1C1B"/>
    <w:multiLevelType w:val="hybridMultilevel"/>
    <w:tmpl w:val="F01C1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34343FA"/>
    <w:multiLevelType w:val="hybridMultilevel"/>
    <w:tmpl w:val="25406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E5280A"/>
    <w:multiLevelType w:val="singleLevel"/>
    <w:tmpl w:val="AA54DE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5F361BA"/>
    <w:multiLevelType w:val="hybridMultilevel"/>
    <w:tmpl w:val="D7E63BE8"/>
    <w:lvl w:ilvl="0" w:tplc="36389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965354"/>
    <w:multiLevelType w:val="hybridMultilevel"/>
    <w:tmpl w:val="241A4A9A"/>
    <w:lvl w:ilvl="0" w:tplc="3F82D214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36C318FC"/>
    <w:multiLevelType w:val="hybridMultilevel"/>
    <w:tmpl w:val="66F4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7740A5E"/>
    <w:multiLevelType w:val="hybridMultilevel"/>
    <w:tmpl w:val="CB9A8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9F654E0"/>
    <w:multiLevelType w:val="hybridMultilevel"/>
    <w:tmpl w:val="C03A1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A8B2617"/>
    <w:multiLevelType w:val="hybridMultilevel"/>
    <w:tmpl w:val="0FC458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5423074E"/>
    <w:multiLevelType w:val="hybridMultilevel"/>
    <w:tmpl w:val="BE2E89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9205880"/>
    <w:multiLevelType w:val="hybridMultilevel"/>
    <w:tmpl w:val="BFCEDCE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A20250"/>
    <w:multiLevelType w:val="hybridMultilevel"/>
    <w:tmpl w:val="DE38A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E6D45B2"/>
    <w:multiLevelType w:val="hybridMultilevel"/>
    <w:tmpl w:val="0BD2B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EF409F1"/>
    <w:multiLevelType w:val="multilevel"/>
    <w:tmpl w:val="9F260BF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F125296"/>
    <w:multiLevelType w:val="hybridMultilevel"/>
    <w:tmpl w:val="11400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FA720D7"/>
    <w:multiLevelType w:val="hybridMultilevel"/>
    <w:tmpl w:val="24CC26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017D13"/>
    <w:multiLevelType w:val="hybridMultilevel"/>
    <w:tmpl w:val="48A4078E"/>
    <w:lvl w:ilvl="0" w:tplc="F1E48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990FF8"/>
    <w:multiLevelType w:val="hybridMultilevel"/>
    <w:tmpl w:val="8506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30850"/>
    <w:multiLevelType w:val="hybridMultilevel"/>
    <w:tmpl w:val="153AC2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7C7558B2"/>
    <w:multiLevelType w:val="multilevel"/>
    <w:tmpl w:val="3F421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3"/>
  </w:num>
  <w:num w:numId="2">
    <w:abstractNumId w:val="15"/>
  </w:num>
  <w:num w:numId="3">
    <w:abstractNumId w:val="18"/>
  </w:num>
  <w:num w:numId="4">
    <w:abstractNumId w:val="32"/>
  </w:num>
  <w:num w:numId="5">
    <w:abstractNumId w:val="30"/>
  </w:num>
  <w:num w:numId="6">
    <w:abstractNumId w:val="17"/>
  </w:num>
  <w:num w:numId="7">
    <w:abstractNumId w:val="25"/>
  </w:num>
  <w:num w:numId="8">
    <w:abstractNumId w:val="2"/>
  </w:num>
  <w:num w:numId="9">
    <w:abstractNumId w:val="19"/>
  </w:num>
  <w:num w:numId="10">
    <w:abstractNumId w:val="22"/>
  </w:num>
  <w:num w:numId="11">
    <w:abstractNumId w:val="27"/>
  </w:num>
  <w:num w:numId="1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26"/>
  </w:num>
  <w:num w:numId="16">
    <w:abstractNumId w:val="1"/>
  </w:num>
  <w:num w:numId="17">
    <w:abstractNumId w:val="7"/>
  </w:num>
  <w:num w:numId="18">
    <w:abstractNumId w:val="16"/>
  </w:num>
  <w:num w:numId="19">
    <w:abstractNumId w:val="3"/>
  </w:num>
  <w:num w:numId="20">
    <w:abstractNumId w:val="24"/>
  </w:num>
  <w:num w:numId="21">
    <w:abstractNumId w:val="8"/>
  </w:num>
  <w:num w:numId="22">
    <w:abstractNumId w:val="11"/>
  </w:num>
  <w:num w:numId="23">
    <w:abstractNumId w:val="12"/>
  </w:num>
  <w:num w:numId="24">
    <w:abstractNumId w:val="4"/>
  </w:num>
  <w:num w:numId="25">
    <w:abstractNumId w:val="10"/>
  </w:num>
  <w:num w:numId="26">
    <w:abstractNumId w:val="5"/>
  </w:num>
  <w:num w:numId="27">
    <w:abstractNumId w:val="6"/>
  </w:num>
  <w:num w:numId="28">
    <w:abstractNumId w:val="21"/>
  </w:num>
  <w:num w:numId="29">
    <w:abstractNumId w:val="23"/>
  </w:num>
  <w:num w:numId="30">
    <w:abstractNumId w:val="0"/>
  </w:num>
  <w:num w:numId="31">
    <w:abstractNumId w:val="31"/>
  </w:num>
  <w:num w:numId="32">
    <w:abstractNumId w:val="14"/>
  </w:num>
  <w:num w:numId="33">
    <w:abstractNumId w:val="13"/>
  </w:num>
  <w:num w:numId="34">
    <w:abstractNumId w:val="20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E20"/>
    <w:rsid w:val="00063457"/>
    <w:rsid w:val="00080992"/>
    <w:rsid w:val="00094BF6"/>
    <w:rsid w:val="000B6B35"/>
    <w:rsid w:val="000E3A0C"/>
    <w:rsid w:val="001057F5"/>
    <w:rsid w:val="0014133E"/>
    <w:rsid w:val="001957B3"/>
    <w:rsid w:val="00197D59"/>
    <w:rsid w:val="001A4DE5"/>
    <w:rsid w:val="00210E28"/>
    <w:rsid w:val="002546EB"/>
    <w:rsid w:val="002A0024"/>
    <w:rsid w:val="002E6C67"/>
    <w:rsid w:val="00303EDA"/>
    <w:rsid w:val="00313F9D"/>
    <w:rsid w:val="00334FA0"/>
    <w:rsid w:val="00355547"/>
    <w:rsid w:val="00362B31"/>
    <w:rsid w:val="00383786"/>
    <w:rsid w:val="0039438D"/>
    <w:rsid w:val="003962EA"/>
    <w:rsid w:val="003A6DBD"/>
    <w:rsid w:val="003B3BE0"/>
    <w:rsid w:val="003E4B33"/>
    <w:rsid w:val="00416BAB"/>
    <w:rsid w:val="00431FC8"/>
    <w:rsid w:val="00434FB6"/>
    <w:rsid w:val="00444334"/>
    <w:rsid w:val="004A2831"/>
    <w:rsid w:val="004A72DC"/>
    <w:rsid w:val="004C236C"/>
    <w:rsid w:val="004F00CC"/>
    <w:rsid w:val="0053553A"/>
    <w:rsid w:val="00590E46"/>
    <w:rsid w:val="006074FF"/>
    <w:rsid w:val="006145F8"/>
    <w:rsid w:val="00623FFE"/>
    <w:rsid w:val="00684733"/>
    <w:rsid w:val="00693710"/>
    <w:rsid w:val="006A0451"/>
    <w:rsid w:val="006A3F4F"/>
    <w:rsid w:val="006A5DB3"/>
    <w:rsid w:val="00706E42"/>
    <w:rsid w:val="007117AF"/>
    <w:rsid w:val="00720F0B"/>
    <w:rsid w:val="00760BDE"/>
    <w:rsid w:val="00761C20"/>
    <w:rsid w:val="007649D8"/>
    <w:rsid w:val="00775630"/>
    <w:rsid w:val="00783E37"/>
    <w:rsid w:val="00795B6A"/>
    <w:rsid w:val="007A22FD"/>
    <w:rsid w:val="007D2AD8"/>
    <w:rsid w:val="007D7953"/>
    <w:rsid w:val="007F768B"/>
    <w:rsid w:val="0081171C"/>
    <w:rsid w:val="008427F6"/>
    <w:rsid w:val="00871300"/>
    <w:rsid w:val="00880BB6"/>
    <w:rsid w:val="00890875"/>
    <w:rsid w:val="00894E75"/>
    <w:rsid w:val="008E3DE2"/>
    <w:rsid w:val="00906330"/>
    <w:rsid w:val="00922A75"/>
    <w:rsid w:val="00965AF5"/>
    <w:rsid w:val="009677BB"/>
    <w:rsid w:val="00986DC2"/>
    <w:rsid w:val="009B4608"/>
    <w:rsid w:val="009C2FF4"/>
    <w:rsid w:val="009D148E"/>
    <w:rsid w:val="009D2273"/>
    <w:rsid w:val="00A3698B"/>
    <w:rsid w:val="00A54BAF"/>
    <w:rsid w:val="00A9367C"/>
    <w:rsid w:val="00A96654"/>
    <w:rsid w:val="00AB4EDD"/>
    <w:rsid w:val="00AF0709"/>
    <w:rsid w:val="00B2070C"/>
    <w:rsid w:val="00B358FC"/>
    <w:rsid w:val="00B50DA2"/>
    <w:rsid w:val="00B65DFE"/>
    <w:rsid w:val="00B734E1"/>
    <w:rsid w:val="00B82FA7"/>
    <w:rsid w:val="00B85ACE"/>
    <w:rsid w:val="00B9214E"/>
    <w:rsid w:val="00BB25B6"/>
    <w:rsid w:val="00BE5892"/>
    <w:rsid w:val="00BE6D1F"/>
    <w:rsid w:val="00C06485"/>
    <w:rsid w:val="00C1476C"/>
    <w:rsid w:val="00C85E20"/>
    <w:rsid w:val="00C90486"/>
    <w:rsid w:val="00CA62C2"/>
    <w:rsid w:val="00CB1618"/>
    <w:rsid w:val="00CC3648"/>
    <w:rsid w:val="00CE123C"/>
    <w:rsid w:val="00CE3FCE"/>
    <w:rsid w:val="00CF24D6"/>
    <w:rsid w:val="00CF380E"/>
    <w:rsid w:val="00D0336C"/>
    <w:rsid w:val="00D27068"/>
    <w:rsid w:val="00D50090"/>
    <w:rsid w:val="00D564BE"/>
    <w:rsid w:val="00D632A4"/>
    <w:rsid w:val="00D65F83"/>
    <w:rsid w:val="00D74582"/>
    <w:rsid w:val="00D9209E"/>
    <w:rsid w:val="00DB291C"/>
    <w:rsid w:val="00DB2DCB"/>
    <w:rsid w:val="00DC67E9"/>
    <w:rsid w:val="00DF484A"/>
    <w:rsid w:val="00E11E92"/>
    <w:rsid w:val="00E462B4"/>
    <w:rsid w:val="00E90098"/>
    <w:rsid w:val="00EB764C"/>
    <w:rsid w:val="00EC252D"/>
    <w:rsid w:val="00ED18D0"/>
    <w:rsid w:val="00EE41A2"/>
    <w:rsid w:val="00F00682"/>
    <w:rsid w:val="00F16DE7"/>
    <w:rsid w:val="00F439DB"/>
    <w:rsid w:val="00F43B36"/>
    <w:rsid w:val="00F47E4F"/>
    <w:rsid w:val="00F47F52"/>
    <w:rsid w:val="00F61F65"/>
    <w:rsid w:val="00F72655"/>
    <w:rsid w:val="00F81576"/>
    <w:rsid w:val="00F861CA"/>
    <w:rsid w:val="00F91514"/>
    <w:rsid w:val="00FD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3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67E9"/>
    <w:pPr>
      <w:ind w:left="720"/>
    </w:pPr>
  </w:style>
  <w:style w:type="table" w:styleId="TableGrid">
    <w:name w:val="Table Grid"/>
    <w:basedOn w:val="TableNormal"/>
    <w:uiPriority w:val="99"/>
    <w:rsid w:val="008427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8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0992"/>
  </w:style>
  <w:style w:type="paragraph" w:styleId="Footer">
    <w:name w:val="footer"/>
    <w:basedOn w:val="Normal"/>
    <w:link w:val="FooterChar"/>
    <w:uiPriority w:val="99"/>
    <w:rsid w:val="0008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992"/>
  </w:style>
  <w:style w:type="paragraph" w:styleId="Title">
    <w:name w:val="Title"/>
    <w:basedOn w:val="Normal"/>
    <w:link w:val="TitleChar1"/>
    <w:uiPriority w:val="99"/>
    <w:qFormat/>
    <w:locked/>
    <w:rsid w:val="00CA62C2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A1D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CA62C2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16</Pages>
  <Words>4302</Words>
  <Characters>24526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subject/>
  <dc:creator>.</dc:creator>
  <cp:keywords/>
  <dc:description/>
  <cp:lastModifiedBy>ЦыреновСВ</cp:lastModifiedBy>
  <cp:revision>2</cp:revision>
  <dcterms:created xsi:type="dcterms:W3CDTF">2013-03-02T15:38:00Z</dcterms:created>
  <dcterms:modified xsi:type="dcterms:W3CDTF">2013-03-02T15:38:00Z</dcterms:modified>
</cp:coreProperties>
</file>